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rPr>
          <w:highlight w:val="none"/>
        </w:rPr>
      </w:pPr>
      <w:r/>
      <w:bookmarkStart w:id="1" w:name="anchor0"/>
      <w:r/>
      <w:bookmarkEnd w:id="1"/>
      <w:r/>
      <w:hyperlink r:id="rId10" w:tooltip="https://internet.garant.ru/document/redirect/17620422/0" w:history="1">
        <w:r>
          <w:t xml:space="preserve">Постановление Кабинета Министров Чувашской Республики от 21 июня 2005 г. N 152 "О переводе земель или земельных участков из одной категории в другую"</w:t>
        </w:r>
      </w:hyperlink>
      <w:r/>
      <w:r/>
    </w:p>
    <w:p>
      <w:pPr>
        <w:pStyle w:val="19"/>
        <w:ind w:left="0" w:right="0" w:firstLine="0"/>
        <w:jc w:val="both"/>
        <w:spacing w:before="0" w:after="3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spacing w:before="0" w:after="0"/>
        <w:shd w:val="clear" w:color="e1e2e2" w:fill="e1e2e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  <w:sz w:val="20"/>
        </w:rPr>
        <w:t xml:space="preserve">15 декабря 2005 г., 10 апреля, 29 августа 2008 г., 23 сентября 2009 г., 24 февраля 2012 г., 3 марта, 9 апреля, 27 октября 2015 г., 19 декабря 2016 г., 10 мая 2017 г., 8 июля 2020 г., 24 апреля, 25 декабря 2024 г.</w:t>
      </w:r>
      <w:r/>
    </w:p>
    <w:p>
      <w:pPr>
        <w:pStyle w:val="687"/>
      </w:pPr>
      <w:r>
        <w:rPr>
          <w:highlight w:val="none"/>
        </w:rPr>
      </w:r>
      <w:r>
        <w:rPr>
          <w:highlight w:val="none"/>
        </w:rPr>
      </w:r>
    </w:p>
    <w:p>
      <w:pPr>
        <w:pStyle w:val="685"/>
      </w:pPr>
      <w:r/>
      <w:r/>
    </w:p>
    <w:p>
      <w:pPr>
        <w:pStyle w:val="685"/>
      </w:pPr>
      <w:r>
        <w:t xml:space="preserve">В соответствии с </w:t>
      </w:r>
      <w:hyperlink r:id="rId11" w:tooltip="https://internet.garant.ru/document/redirect/12124624/8" w:history="1">
        <w:r>
          <w:t xml:space="preserve">Земельным кодексом</w:t>
        </w:r>
      </w:hyperlink>
      <w:r>
        <w:t xml:space="preserve"> Российской Федерации, </w:t>
      </w:r>
      <w:hyperlink r:id="rId12" w:tooltip="https://internet.garant.ru/document/redirect/12138154/0" w:history="1">
        <w:r>
          <w:t xml:space="preserve">Федеральным законом</w:t>
        </w:r>
      </w:hyperlink>
      <w:r>
        <w:t xml:space="preserve"> "О переводе земель или земельных участков из одной категории в другую" Кабинет Министров Чувашской Республики постановляет:</w:t>
      </w:r>
      <w:r/>
    </w:p>
    <w:p>
      <w:pPr>
        <w:pStyle w:val="685"/>
      </w:pPr>
      <w:r/>
      <w:bookmarkStart w:id="2" w:name="anchor1"/>
      <w:r/>
      <w:bookmarkEnd w:id="2"/>
      <w:r>
        <w:t xml:space="preserve">1. Установить, что:</w:t>
      </w:r>
      <w:r/>
    </w:p>
    <w:p>
      <w:pPr>
        <w:pStyle w:val="685"/>
      </w:pPr>
      <w:r>
        <w:t xml:space="preserve">до разграничения государственной собственности на землю перевод находящихся в государственной собственности земель или зе</w:t>
      </w:r>
      <w:r>
        <w:t xml:space="preserve">мельных участков из одной категории в другую осуществляется Кабинетом Министров Чувашской Республики, за исключением случаев, когда такой перевод отнесен к компетенции органов государственной власти Российской Федерации или органов местного самоуправления;</w:t>
      </w:r>
      <w:r/>
    </w:p>
    <w:p>
      <w:pPr>
        <w:pStyle w:val="685"/>
      </w:pPr>
      <w:r/>
      <w:bookmarkStart w:id="3" w:name="anchor103"/>
      <w:r/>
      <w:bookmarkEnd w:id="3"/>
      <w:r>
        <w:t xml:space="preserve">уполномоченным органом по рассмотрению ходатайств по переводу земель или земельных </w:t>
      </w:r>
      <w:r>
        <w:t xml:space="preserve">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является Министерство экономического развития и имущественных отношений Чувашской Республики;</w:t>
      </w:r>
      <w:r/>
    </w:p>
    <w:p>
      <w:pPr>
        <w:pStyle w:val="685"/>
      </w:pPr>
      <w:r/>
      <w:bookmarkStart w:id="4" w:name="anchor104"/>
      <w:r/>
      <w:bookmarkEnd w:id="4"/>
      <w:r>
        <w:t xml:space="preserve">Министерство экономического развития и имущественных отношений Чувашской Республики по результатам рассмотрения поступивших от заинтересованных лиц ходатайств и документов, необходимых для перевода земель или </w:t>
      </w:r>
      <w:r>
        <w:t xml:space="preserve">земельных участков из одной категории в другую, в установленные законодательством порядке и сроки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переводе.</w:t>
      </w:r>
      <w:r/>
    </w:p>
    <w:p>
      <w:pPr>
        <w:pStyle w:val="685"/>
      </w:pPr>
      <w:r/>
      <w:bookmarkStart w:id="5" w:name="anchor11"/>
      <w:r/>
      <w:bookmarkEnd w:id="5"/>
      <w:r>
        <w:t xml:space="preserve">1.1. Перевод земель населенных пунктов или земельных участков в составе таких земель в иные категории либо перевод земель или земельных участков из иных категорий в земли населенных пунктов осуществляется органами местного самоуправления в соответствии с </w:t>
      </w:r>
      <w:hyperlink r:id="rId13" w:tooltip="https://internet.garant.ru/document/redirect/12124624/2" w:history="1">
        <w:r>
          <w:t xml:space="preserve">земельным законодательством</w:t>
        </w:r>
      </w:hyperlink>
      <w:r>
        <w:t xml:space="preserve"> и </w:t>
      </w:r>
      <w:hyperlink r:id="rId14" w:tooltip="https://internet.garant.ru/document/redirect/12138258/3" w:history="1">
        <w:r>
          <w:t xml:space="preserve">законодательством</w:t>
        </w:r>
      </w:hyperlink>
      <w:r>
        <w:t xml:space="preserve"> о градостроительной деятельности.</w:t>
      </w:r>
      <w:r/>
    </w:p>
    <w:p>
      <w:pPr>
        <w:pStyle w:val="685"/>
      </w:pPr>
      <w:r/>
      <w:bookmarkStart w:id="6" w:name="anchor2"/>
      <w:r/>
      <w:bookmarkEnd w:id="6"/>
      <w:r>
        <w:t xml:space="preserve">2. Утверди</w:t>
      </w:r>
      <w:r>
        <w:t xml:space="preserve">ть прилагаемый перечень документов, необходимых для перевода земель из одной категории в другую в отношении земель сельскохозяйственного назначения на территории Чувашской Республики, за исключением земель, находящихся в собственности Российской Федерации.</w:t>
      </w:r>
      <w:r/>
    </w:p>
    <w:p>
      <w:pPr>
        <w:pStyle w:val="685"/>
      </w:pPr>
      <w:r>
        <w:t xml:space="preserve">перечень документов, необходимых дл</w:t>
      </w:r>
      <w:r>
        <w:t xml:space="preserve">я перевода земель сельскохозяйственного назначения из одной категории в другую на территории Чувашской Республики, за исключением земель, находящихся в собственности Российской Федерации, утвержденный указанным постановлением, изложить в редакции согласно </w:t>
      </w:r>
      <w:hyperlink r:id="rId15" w:tooltip="https://internet.garant.ru/document/redirect/22728876/100" w:history="1">
        <w:r>
          <w:t xml:space="preserve">приложению</w:t>
        </w:r>
      </w:hyperlink>
      <w:r>
        <w:t xml:space="preserve"> к настоящему постановлению.</w:t>
      </w:r>
      <w:r/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Председатель Кабинета МинистровЧувашской Республики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right"/>
            </w:pPr>
            <w:r>
              <w:t xml:space="preserve">С.Гапликов</w:t>
            </w:r>
            <w:r/>
          </w:p>
        </w:tc>
      </w:tr>
    </w:tbl>
    <w:p>
      <w:pPr>
        <w:pStyle w:val="685"/>
      </w:pPr>
      <w:r/>
      <w:r/>
    </w:p>
    <w:p>
      <w:pPr>
        <w:pStyle w:val="685"/>
        <w:ind w:left="0" w:right="0" w:firstLine="0"/>
        <w:jc w:val="right"/>
      </w:pPr>
      <w:r/>
      <w:bookmarkStart w:id="7" w:name="anchor1000"/>
      <w:r/>
      <w:bookmarkEnd w:id="7"/>
      <w:r>
        <w:rPr>
          <w:b/>
          <w:color w:val="26282f"/>
        </w:rPr>
        <w:t xml:space="preserve">Утвержден</w:t>
      </w:r>
      <w:r/>
    </w:p>
    <w:p>
      <w:pPr>
        <w:pStyle w:val="685"/>
        <w:ind w:left="0" w:right="0" w:firstLine="0"/>
        <w:jc w:val="right"/>
      </w:pPr>
      <w:r>
        <w:rPr>
          <w:b/>
          <w:color w:val="26282f"/>
        </w:rPr>
      </w:r>
      <w:hyperlink r:id="rId16" w:tooltip="#anchor0" w:history="1">
        <w:r>
          <w:rPr>
            <w:b/>
            <w:color w:val="26282f"/>
          </w:rPr>
          <w:t xml:space="preserve">постановлением</w:t>
        </w:r>
      </w:hyperlink>
      <w:r>
        <w:rPr>
          <w:b/>
          <w:color w:val="26282f"/>
        </w:rPr>
        <w:t xml:space="preserve"> Кабинета Министров</w:t>
      </w:r>
      <w:r/>
    </w:p>
    <w:p>
      <w:pPr>
        <w:pStyle w:val="685"/>
        <w:ind w:left="0" w:right="0" w:firstLine="0"/>
        <w:jc w:val="right"/>
      </w:pPr>
      <w:r>
        <w:rPr>
          <w:b/>
          <w:color w:val="26282f"/>
        </w:rPr>
        <w:t xml:space="preserve">Чувашской Республики</w:t>
      </w:r>
      <w:r/>
    </w:p>
    <w:p>
      <w:pPr>
        <w:pStyle w:val="685"/>
        <w:ind w:left="0" w:right="0" w:firstLine="0"/>
        <w:jc w:val="right"/>
      </w:pPr>
      <w:r>
        <w:rPr>
          <w:b/>
          <w:color w:val="26282f"/>
        </w:rPr>
        <w:t xml:space="preserve">от 21 июня 2005 г. N 152</w:t>
      </w:r>
      <w:r/>
    </w:p>
    <w:p>
      <w:pPr>
        <w:pStyle w:val="685"/>
      </w:pPr>
      <w:r/>
      <w:r/>
    </w:p>
    <w:p>
      <w:pPr>
        <w:pStyle w:val="687"/>
      </w:pPr>
      <w:r/>
      <w:bookmarkStart w:id="8" w:name="anchor100"/>
      <w:r/>
      <w:bookmarkEnd w:id="8"/>
      <w:r>
        <w:t xml:space="preserve">Переченьдокументов, необходимых для перевода земель из одной категории в другую в отношении земель сельскохозяйственного назначения на территории Чувашской Республики, за исключением земель, находящихся в собственности Российской Федерации</w:t>
      </w:r>
      <w:r/>
    </w:p>
    <w:p>
      <w:pPr>
        <w:pStyle w:val="685"/>
      </w:pPr>
      <w:r/>
      <w:r/>
    </w:p>
    <w:p>
      <w:pPr>
        <w:pStyle w:val="685"/>
      </w:pPr>
      <w:r/>
      <w:bookmarkStart w:id="9" w:name="anchor10"/>
      <w:r/>
      <w:bookmarkEnd w:id="9"/>
      <w:r>
        <w:t xml:space="preserve">1. Ходатай</w:t>
      </w:r>
      <w:r>
        <w:t xml:space="preserve">ство о переводе земель из одной категории в другую в отношении земель сельскохозяйственного назначения на территории Чувашской Республики, за исключением земель, находящихся в собственности Российской Федерации (далее - ходатайство), в котором указываются:</w:t>
      </w:r>
      <w:r/>
    </w:p>
    <w:p>
      <w:pPr>
        <w:pStyle w:val="685"/>
      </w:pPr>
      <w:r/>
      <w:bookmarkStart w:id="10" w:name="anchor102"/>
      <w:r/>
      <w:bookmarkEnd w:id="10"/>
      <w:r>
        <w:t xml:space="preserve">фамилия, имя, отчество (последнее - при наличии), паспорт</w:t>
      </w:r>
      <w:r>
        <w:t xml:space="preserve">ные данные, адрес места жительства заявителя и ИНН - для физического лица и индивидуального предпринимателя, полное и сокращенное наименование, организационно-правовая форма заявителя, его местонахождение, ИНН, банковские реквизиты - для юридического лица;</w:t>
      </w:r>
      <w:r/>
    </w:p>
    <w:p>
      <w:pPr>
        <w:pStyle w:val="685"/>
      </w:pPr>
      <w:r>
        <w:t xml:space="preserve">категория земель, перевод которых предполагается осуществить, и категория земель, перевод в состав которых предполагается осуществить, вид сельскохозяйственных угодий;</w:t>
      </w:r>
      <w:r/>
    </w:p>
    <w:p>
      <w:pPr>
        <w:pStyle w:val="685"/>
      </w:pPr>
      <w:r>
        <w:t xml:space="preserve">сведения о местоположении и площади земель (га);</w:t>
      </w:r>
      <w:r/>
    </w:p>
    <w:p>
      <w:pPr>
        <w:pStyle w:val="685"/>
      </w:pPr>
      <w:r>
        <w:t xml:space="preserve">обоснование перевода земель из одной категории в другую, включающее цель перевода, и обоснование необходимости использования земель в составе испрашиваемой категории земель;</w:t>
      </w:r>
      <w:r/>
    </w:p>
    <w:p>
      <w:pPr>
        <w:pStyle w:val="685"/>
      </w:pPr>
      <w:r/>
      <w:bookmarkStart w:id="11" w:name="anchor108"/>
      <w:r/>
      <w:bookmarkEnd w:id="11"/>
      <w:r>
        <w:t xml:space="preserve">действующее и испрашиваемое право на земли;</w:t>
      </w:r>
      <w:r/>
    </w:p>
    <w:p>
      <w:pPr>
        <w:pStyle w:val="685"/>
      </w:pPr>
      <w:r/>
      <w:bookmarkStart w:id="12" w:name="anchor3"/>
      <w:r/>
      <w:bookmarkEnd w:id="12"/>
      <w:r>
        <w:t xml:space="preserve">кадастровые номера и сведения о правах на земельные участки, входящие в состав земель, перевод которых из одной категории в другую предполагается осуществить, в случае их наличия.</w:t>
      </w:r>
      <w:r/>
    </w:p>
    <w:p>
      <w:pPr>
        <w:pStyle w:val="685"/>
      </w:pPr>
      <w:r/>
      <w:bookmarkStart w:id="13" w:name="anchor1002"/>
      <w:r/>
      <w:bookmarkEnd w:id="13"/>
      <w:r>
        <w:t xml:space="preserve">2. Копия документа, подтверждающего полномочия представителя заявителя (в случае обращения с ходатайством представителя заявителя), с предъявлением оригинала.</w:t>
      </w:r>
      <w:r/>
    </w:p>
    <w:p>
      <w:pPr>
        <w:pStyle w:val="685"/>
      </w:pPr>
      <w:r/>
      <w:bookmarkStart w:id="14" w:name="anchor1003"/>
      <w:r/>
      <w:bookmarkEnd w:id="14"/>
      <w:r>
        <w:t xml:space="preserve">3. Копии документов на земельные участки, входящие в состав земель, перевод которых из одной категории в другую предполагается осуществить (правоустанавливающие) (при наличии таких земельных участков), с предъявлением оригиналов.</w:t>
      </w:r>
      <w:r/>
    </w:p>
    <w:p>
      <w:pPr>
        <w:pStyle w:val="685"/>
      </w:pPr>
      <w:r/>
      <w:bookmarkStart w:id="15" w:name="anchor1004"/>
      <w:r/>
      <w:bookmarkEnd w:id="15"/>
      <w:r>
        <w:t xml:space="preserve">4. Копия документа, удостоверяющего личность заявителя, с предъявлением оригинала (для физического лица).</w:t>
      </w:r>
      <w:r/>
    </w:p>
    <w:p>
      <w:pPr>
        <w:pStyle w:val="685"/>
      </w:pPr>
      <w:r/>
      <w:bookmarkStart w:id="16" w:name="anchor1005"/>
      <w:r/>
      <w:bookmarkEnd w:id="16"/>
      <w:r>
        <w:t xml:space="preserve">5.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лиц).</w:t>
      </w:r>
      <w:r/>
    </w:p>
    <w:p>
      <w:pPr>
        <w:pStyle w:val="685"/>
      </w:pPr>
      <w:r/>
      <w:bookmarkStart w:id="17" w:name="anchor1006"/>
      <w:r/>
      <w:bookmarkEnd w:id="17"/>
      <w:r>
        <w:t xml:space="preserve">6. Согласие </w:t>
      </w:r>
      <w:r>
        <w:t xml:space="preserve">правообладателя земельного участка на перевод земель из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  <w:r/>
    </w:p>
    <w:p>
      <w:pPr>
        <w:pStyle w:val="685"/>
      </w:pPr>
      <w:r/>
      <w:bookmarkStart w:id="18" w:name="anchor1007"/>
      <w:r/>
      <w:bookmarkEnd w:id="18"/>
      <w:r>
        <w:t xml:space="preserve">7. Утратил силу с 24 апреля 2024 г. - </w:t>
      </w:r>
      <w:hyperlink r:id="rId17" w:tooltip="https://internet.garant.ru/document/redirect/408933119/104" w:history="1">
        <w:r>
          <w:t xml:space="preserve">Постановление</w:t>
        </w:r>
      </w:hyperlink>
      <w:r>
        <w:t xml:space="preserve"> Кабинета Министров Чувашской Республики от 24 апреля 2024 г. N 215</w:t>
      </w:r>
      <w:r/>
    </w:p>
    <w:p>
      <w:pPr>
        <w:pStyle w:val="685"/>
      </w:pPr>
      <w:r/>
      <w:bookmarkStart w:id="19" w:name="anchor1008"/>
      <w:r/>
      <w:bookmarkEnd w:id="19"/>
      <w:r>
        <w:t xml:space="preserve">8. Планово-картографические материалы с указанием местоположения земель, перевод которых из одной категории в другую предполагается осуществить, позволяющие определить положение границ земель на местности, и состав сельскохозяйственных угодий.</w:t>
      </w:r>
      <w:r/>
    </w:p>
    <w:p>
      <w:pPr>
        <w:pStyle w:val="685"/>
      </w:pPr>
      <w:r/>
      <w:bookmarkStart w:id="20" w:name="anchor1009"/>
      <w:r/>
      <w:bookmarkEnd w:id="20"/>
      <w:r>
        <w:t xml:space="preserve">9. Кадастровый план территории земель, перевод которых из одной категории в другую предполагается осуществить.</w:t>
      </w:r>
      <w:r/>
    </w:p>
    <w:p>
      <w:pPr>
        <w:pStyle w:val="685"/>
      </w:pPr>
      <w:r/>
      <w:bookmarkStart w:id="21" w:name="anchor1010"/>
      <w:r/>
      <w:bookmarkEnd w:id="21"/>
      <w:r>
        <w:t xml:space="preserve">10. Утратил силу с 21 мая 2017 г. - </w:t>
      </w:r>
      <w:hyperlink r:id="rId18" w:tooltip="https://internet.garant.ru/document/redirect/42531806/1007" w:history="1">
        <w:r>
          <w:t xml:space="preserve">Постановление</w:t>
        </w:r>
      </w:hyperlink>
      <w:r>
        <w:t xml:space="preserve"> Кабинета Министров Чувашской Республики от 10 мая 2017 г. N 172.</w:t>
      </w:r>
      <w:r/>
    </w:p>
    <w:p>
      <w:pPr>
        <w:pStyle w:val="685"/>
      </w:pPr>
      <w:r/>
      <w:bookmarkStart w:id="22" w:name="anchor1011"/>
      <w:r/>
      <w:bookmarkEnd w:id="22"/>
      <w:r>
        <w:t xml:space="preserve">11. Выписка из специальных карт (схем), предусмотренных </w:t>
      </w:r>
      <w:hyperlink r:id="rId19" w:tooltip="https://internet.garant.ru/document/redirect/10104313/2571" w:history="1">
        <w:r>
          <w:t xml:space="preserve">частью первой статьи 25</w:t>
        </w:r>
      </w:hyperlink>
      <w:r>
        <w:t xml:space="preserve"> Закона Российской Федерации "О недрах", выданная Федеральным агентством по недропользованию, подтверждающая отсутствие информации о наличии в границах земель, на которых планируется строительство объекта капитального строительства, месторождений полез</w:t>
      </w:r>
      <w:r>
        <w:t xml:space="preserve">ных ископаемых и (или) участков недр, предоставленных в пользование в виде горного отвода, а при содержании такой информации - согласование строительства объектов капитального строительства в границах таких земель с комиссией, предусмотренной частью пятой </w:t>
      </w:r>
      <w:hyperlink r:id="rId20" w:tooltip="https://internet.garant.ru/document/redirect/10104313/25" w:history="1">
        <w:r>
          <w:t xml:space="preserve">статьи 25</w:t>
        </w:r>
      </w:hyperlink>
      <w:r>
        <w:t xml:space="preserve"> Закона Российской Федерации "О недрах".</w:t>
      </w:r>
      <w:r/>
    </w:p>
    <w:p>
      <w:pPr>
        <w:pStyle w:val="685"/>
      </w:pPr>
      <w:r/>
      <w:bookmarkStart w:id="23" w:name="anchor1012"/>
      <w:r/>
      <w:bookmarkEnd w:id="23"/>
      <w:r>
        <w:t xml:space="preserve">12. Выписка из Единого государственного реестра недвижимости о правах на земельные участки, входящие в состав земель, перевод которых из одной категории в другую предполагается осуществить (при наличии таких земельных участков).</w:t>
      </w:r>
      <w:r/>
    </w:p>
    <w:p>
      <w:pPr>
        <w:pStyle w:val="685"/>
      </w:pPr>
      <w:r/>
      <w:bookmarkStart w:id="24" w:name="anchor1013"/>
      <w:r/>
      <w:bookmarkEnd w:id="24"/>
      <w:r>
        <w:t xml:space="preserve">13. При переводе земель сельскохозяйственных угодий из земель сельскохозяйственного назначения в другую категорию в случае, указанном в </w:t>
      </w:r>
      <w:hyperlink r:id="rId21" w:tooltip="https://internet.garant.ru/document/redirect/12138154/7018" w:history="1">
        <w:r>
          <w:t xml:space="preserve">пункте 8 части 1 статьи 7</w:t>
        </w:r>
      </w:hyperlink>
      <w:r>
        <w:t xml:space="preserve"> Федерального закона "О переводе земель или земельных участков из одной категории в другую" (далее - Федеральный закон), представляются с предъявлением оригиналов:</w:t>
      </w:r>
      <w:r/>
    </w:p>
    <w:p>
      <w:pPr>
        <w:pStyle w:val="685"/>
      </w:pPr>
      <w:r/>
      <w:bookmarkStart w:id="25" w:name="anchor131"/>
      <w:r/>
      <w:bookmarkEnd w:id="25"/>
      <w:r>
        <w:t xml:space="preserve">1) копия утвержденного в установленном порядке проекта рекультивации земель;</w:t>
      </w:r>
      <w:r/>
    </w:p>
    <w:p>
      <w:pPr>
        <w:pStyle w:val="685"/>
      </w:pPr>
      <w:r/>
      <w:bookmarkStart w:id="26" w:name="anchor132"/>
      <w:r/>
      <w:bookmarkEnd w:id="26"/>
      <w:r>
        <w:t xml:space="preserve">2) копия лицензии на пользование недрами;</w:t>
      </w:r>
      <w:r/>
    </w:p>
    <w:p>
      <w:pPr>
        <w:pStyle w:val="685"/>
      </w:pPr>
      <w:r/>
      <w:bookmarkStart w:id="27" w:name="anchor133"/>
      <w:r/>
      <w:bookmarkEnd w:id="27"/>
      <w:r>
        <w:t xml:space="preserve">3) копия горноотводного акта.</w:t>
      </w:r>
      <w:r/>
    </w:p>
    <w:p>
      <w:pPr>
        <w:pStyle w:val="685"/>
      </w:pPr>
      <w:r/>
      <w:bookmarkStart w:id="28" w:name="anchor1310"/>
      <w:r/>
      <w:bookmarkEnd w:id="28"/>
      <w:r>
        <w:t xml:space="preserve">13.1. При переводе земель сельскохозяйственных угодий из земель сельскохозяйственного назначения в другую категорию в случае, указанном в </w:t>
      </w:r>
      <w:hyperlink r:id="rId22" w:tooltip="https://internet.garant.ru/document/redirect/12138154/7011" w:history="1">
        <w:r>
          <w:t xml:space="preserve">пункте 1 части 1 статьи 7</w:t>
        </w:r>
      </w:hyperlink>
      <w:r>
        <w:t xml:space="preserve"> Федерального закона, представляется копия утвержденного в установленном порядке проекта консервации земель, перевод которых из одной категории в другую предполагается осуществить, с предъявлением оригинала.</w:t>
      </w:r>
      <w:r/>
    </w:p>
    <w:p>
      <w:pPr>
        <w:pStyle w:val="685"/>
      </w:pPr>
      <w:r/>
      <w:bookmarkStart w:id="29" w:name="anchor1320"/>
      <w:r/>
      <w:bookmarkEnd w:id="29"/>
      <w:r>
        <w:t xml:space="preserve">13.2. При переводе земель сельскохозяйственных угодий из земель сельскохозяйственного назначения в другую категорию в случае, указанном в </w:t>
      </w:r>
      <w:hyperlink r:id="rId23" w:tooltip="https://internet.garant.ru/document/redirect/12138154/7012" w:history="1">
        <w:r>
          <w:t xml:space="preserve">пункте 2 части 1 статьи 7</w:t>
        </w:r>
      </w:hyperlink>
      <w:r>
        <w:t xml:space="preserve"> Федерального закона, представляется копия решения о создании особо охраняемых природных те</w:t>
      </w:r>
      <w:r>
        <w:t xml:space="preserve">рриторий или документа, подтверждающего отнесение земель, перевод которых из одной категории в другую предполагается осуществить, к землям природоохранного, историко-культурного, рекреационного или иного особо ценного назначения, с предъявлением оригинала.</w:t>
      </w:r>
      <w:r/>
    </w:p>
    <w:p>
      <w:pPr>
        <w:pStyle w:val="685"/>
      </w:pPr>
      <w:r/>
      <w:bookmarkStart w:id="30" w:name="anchor1330"/>
      <w:r/>
      <w:bookmarkEnd w:id="30"/>
      <w:r>
        <w:t xml:space="preserve">13.3. При переводе земель сельскохозяйственных угодий из земель сельскохозяйственного назначения в другую категорию в случаях, указанных в </w:t>
      </w:r>
      <w:hyperlink r:id="rId24" w:tooltip="https://internet.garant.ru/document/redirect/12138154/7014" w:history="1">
        <w:r>
          <w:t xml:space="preserve">пунктах 4</w:t>
        </w:r>
      </w:hyperlink>
      <w:r>
        <w:t xml:space="preserve">, </w:t>
      </w:r>
      <w:hyperlink r:id="rId25" w:tooltip="https://internet.garant.ru/document/redirect/12138154/7017" w:history="1">
        <w:r>
          <w:t xml:space="preserve">7</w:t>
        </w:r>
      </w:hyperlink>
      <w:r>
        <w:t xml:space="preserve">, </w:t>
      </w:r>
      <w:hyperlink r:id="rId26" w:tooltip="https://internet.garant.ru/document/redirect/12138154/7019" w:history="1">
        <w:r>
          <w:t xml:space="preserve">9 части 1 статьи 7</w:t>
        </w:r>
      </w:hyperlink>
      <w:r>
        <w:t xml:space="preserve"> Федерального закона, представляется заключение органа местного самоуправления, подтверждающее отсутствие иных вариантов размещения соответствующих объектов, выданное на основании документов территориального планирования.</w:t>
      </w:r>
      <w:r/>
    </w:p>
    <w:p>
      <w:pPr>
        <w:pStyle w:val="685"/>
      </w:pPr>
      <w:r/>
      <w:bookmarkStart w:id="31" w:name="anchor1340"/>
      <w:r/>
      <w:bookmarkEnd w:id="31"/>
      <w:r>
        <w:t xml:space="preserve">13.4. При переводе земель сельскохозяйственных угодий из земель сельскохозяйственного назначения в другую категорию в случае, указанном в </w:t>
      </w:r>
      <w:hyperlink r:id="rId27" w:tooltip="https://internet.garant.ru/document/redirect/12138154/7016" w:history="1">
        <w:r>
          <w:t xml:space="preserve">пункте 6 части 1 статьи 7</w:t>
        </w:r>
      </w:hyperlink>
      <w:r>
        <w:t xml:space="preserve"> Федерального закона, представляется копия утвержденного в установленном порядке проекта рекультивации части сельскохозяйственных угодий, предоставляе</w:t>
      </w:r>
      <w:r>
        <w:t xml:space="preserve">мой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сооружений, с предъявлением оригинала.</w:t>
      </w:r>
      <w:r/>
    </w:p>
    <w:p>
      <w:pPr>
        <w:pStyle w:val="685"/>
      </w:pPr>
      <w:r/>
      <w:bookmarkStart w:id="32" w:name="anchor1014"/>
      <w:r/>
      <w:bookmarkEnd w:id="32"/>
      <w:r>
        <w:t xml:space="preserve">14. При переводе земель сельскохозяйственного назначения под размещение объектов в придорожных полосах автомобильных дорог представляются технические условия для размещения объекта дорожного сервиса, выданные владельцем автомобильной дороги.</w:t>
      </w:r>
      <w:r/>
    </w:p>
    <w:p>
      <w:pPr>
        <w:pStyle w:val="685"/>
      </w:pPr>
      <w:r/>
      <w:r/>
    </w:p>
    <w:p>
      <w:pPr>
        <w:pStyle w:val="685"/>
      </w:pPr>
      <w:r/>
      <w:bookmarkStart w:id="33" w:name="anchor1015"/>
      <w:r/>
      <w:bookmarkEnd w:id="33"/>
      <w:r>
        <w:rPr>
          <w:b/>
          <w:color w:val="26282f"/>
        </w:rPr>
        <w:t xml:space="preserve">Примечание.</w:t>
      </w:r>
      <w:r>
        <w:t xml:space="preserve"> Документы, указанные в </w:t>
      </w:r>
      <w:hyperlink r:id="rId28" w:tooltip="#anchor1005" w:history="1">
        <w:r>
          <w:t xml:space="preserve">пунктах 5</w:t>
        </w:r>
      </w:hyperlink>
      <w:r>
        <w:t xml:space="preserve">, </w:t>
      </w:r>
      <w:hyperlink r:id="rId29" w:tooltip="#anchor1008" w:history="1">
        <w:r>
          <w:t xml:space="preserve">8</w:t>
        </w:r>
      </w:hyperlink>
      <w:r>
        <w:t xml:space="preserve">, </w:t>
      </w:r>
      <w:hyperlink r:id="rId30" w:tooltip="#anchor1009" w:history="1">
        <w:r>
          <w:t xml:space="preserve">9</w:t>
        </w:r>
      </w:hyperlink>
      <w:r>
        <w:t xml:space="preserve">, </w:t>
      </w:r>
      <w:hyperlink r:id="rId31" w:tooltip="#anchor1012" w:history="1">
        <w:r>
          <w:t xml:space="preserve">12</w:t>
        </w:r>
      </w:hyperlink>
      <w:r>
        <w:t xml:space="preserve">, </w:t>
      </w:r>
      <w:hyperlink r:id="rId32" w:tooltip="#anchor1320" w:history="1">
        <w:r>
          <w:t xml:space="preserve">13.2</w:t>
        </w:r>
      </w:hyperlink>
      <w:r>
        <w:t xml:space="preserve">, Министерство экономического развития и имущественных отношений Чувашской Республики запрашивает в </w:t>
      </w:r>
      <w:r>
        <w:t xml:space="preserve">органах и подведомственных государственным органам организациях, в распоряжении которых находятся указанные документы, в порядке межведомственного информационного взаимодействия, если заинтересованное лицо не представило указанные документы самостоятельно.</w:t>
      </w:r>
      <w:r/>
    </w:p>
    <w:p>
      <w:pPr>
        <w:pStyle w:val="685"/>
      </w:pPr>
      <w:r>
        <w:t xml:space="preserve">Оригиналы документов, указанных в </w:t>
      </w:r>
      <w:hyperlink r:id="rId33" w:tooltip="#anchor1002" w:history="1">
        <w:r>
          <w:t xml:space="preserve">пунктах 2-4</w:t>
        </w:r>
      </w:hyperlink>
      <w:r>
        <w:t xml:space="preserve">, </w:t>
      </w:r>
      <w:hyperlink r:id="rId34" w:tooltip="#anchor1013" w:history="1">
        <w:r>
          <w:t xml:space="preserve">13-13.2</w:t>
        </w:r>
      </w:hyperlink>
      <w:r>
        <w:t xml:space="preserve"> и </w:t>
      </w:r>
      <w:hyperlink r:id="rId35" w:tooltip="#anchor1340" w:history="1">
        <w:r>
          <w:t xml:space="preserve">13.4</w:t>
        </w:r>
      </w:hyperlink>
      <w:r>
        <w:t xml:space="preserve">, возвращаются заявителю. 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</w:t>
      </w:r>
      <w:r/>
    </w:p>
    <w:p>
      <w:pPr>
        <w:pStyle w:val="685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683" w:customStyle="1">
    <w:name w:val="Preformatted"/>
    <w:basedOn w:val="680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jc w:val="center"/>
      <w:spacing w:before="240" w:after="120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ind w:left="170" w:right="170" w:firstLine="0"/>
      <w:jc w:val="left"/>
      <w:spacing w:before="0" w:after="0"/>
    </w:pPr>
    <w:rPr>
      <w:sz w:val="24"/>
    </w:rPr>
  </w:style>
  <w:style w:type="paragraph" w:styleId="693" w:customStyle="1">
    <w:name w:val="Комментарий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ind w:left="1612" w:right="0" w:hanging="891"/>
      <w:jc w:val="both"/>
      <w:spacing w:before="0" w:after="0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1134" w:default="1">
    <w:name w:val="Default Paragraph Font"/>
    <w:uiPriority w:val="1"/>
    <w:semiHidden/>
    <w:unhideWhenUsed/>
  </w:style>
  <w:style w:type="numbering" w:styleId="1135" w:default="1">
    <w:name w:val="No List"/>
    <w:uiPriority w:val="99"/>
    <w:semiHidden/>
    <w:unhideWhenUsed/>
  </w:style>
  <w:style w:type="table" w:styleId="11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17620422/0" TargetMode="External"/><Relationship Id="rId11" Type="http://schemas.openxmlformats.org/officeDocument/2006/relationships/hyperlink" Target="https://internet.garant.ru/document/redirect/12124624/8" TargetMode="External"/><Relationship Id="rId12" Type="http://schemas.openxmlformats.org/officeDocument/2006/relationships/hyperlink" Target="https://internet.garant.ru/document/redirect/12138154/0" TargetMode="External"/><Relationship Id="rId13" Type="http://schemas.openxmlformats.org/officeDocument/2006/relationships/hyperlink" Target="https://internet.garant.ru/document/redirect/12124624/2" TargetMode="External"/><Relationship Id="rId14" Type="http://schemas.openxmlformats.org/officeDocument/2006/relationships/hyperlink" Target="https://internet.garant.ru/document/redirect/12138258/3" TargetMode="External"/><Relationship Id="rId15" Type="http://schemas.openxmlformats.org/officeDocument/2006/relationships/hyperlink" Target="https://internet.garant.ru/document/redirect/22728876/100" TargetMode="External"/><Relationship Id="rId16" Type="http://schemas.openxmlformats.org/officeDocument/2006/relationships/hyperlink" Target="#anchor0" TargetMode="External"/><Relationship Id="rId17" Type="http://schemas.openxmlformats.org/officeDocument/2006/relationships/hyperlink" Target="https://internet.garant.ru/document/redirect/408933119/104" TargetMode="External"/><Relationship Id="rId18" Type="http://schemas.openxmlformats.org/officeDocument/2006/relationships/hyperlink" Target="https://internet.garant.ru/document/redirect/42531806/1007" TargetMode="External"/><Relationship Id="rId19" Type="http://schemas.openxmlformats.org/officeDocument/2006/relationships/hyperlink" Target="https://internet.garant.ru/document/redirect/10104313/2571" TargetMode="External"/><Relationship Id="rId20" Type="http://schemas.openxmlformats.org/officeDocument/2006/relationships/hyperlink" Target="https://internet.garant.ru/document/redirect/10104313/25" TargetMode="External"/><Relationship Id="rId21" Type="http://schemas.openxmlformats.org/officeDocument/2006/relationships/hyperlink" Target="https://internet.garant.ru/document/redirect/12138154/7018" TargetMode="External"/><Relationship Id="rId22" Type="http://schemas.openxmlformats.org/officeDocument/2006/relationships/hyperlink" Target="https://internet.garant.ru/document/redirect/12138154/7011" TargetMode="External"/><Relationship Id="rId23" Type="http://schemas.openxmlformats.org/officeDocument/2006/relationships/hyperlink" Target="https://internet.garant.ru/document/redirect/12138154/7012" TargetMode="External"/><Relationship Id="rId24" Type="http://schemas.openxmlformats.org/officeDocument/2006/relationships/hyperlink" Target="https://internet.garant.ru/document/redirect/12138154/7014" TargetMode="External"/><Relationship Id="rId25" Type="http://schemas.openxmlformats.org/officeDocument/2006/relationships/hyperlink" Target="https://internet.garant.ru/document/redirect/12138154/7017" TargetMode="External"/><Relationship Id="rId26" Type="http://schemas.openxmlformats.org/officeDocument/2006/relationships/hyperlink" Target="https://internet.garant.ru/document/redirect/12138154/7019" TargetMode="External"/><Relationship Id="rId27" Type="http://schemas.openxmlformats.org/officeDocument/2006/relationships/hyperlink" Target="https://internet.garant.ru/document/redirect/12138154/7016" TargetMode="External"/><Relationship Id="rId28" Type="http://schemas.openxmlformats.org/officeDocument/2006/relationships/hyperlink" Target="#anchor1005" TargetMode="External"/><Relationship Id="rId29" Type="http://schemas.openxmlformats.org/officeDocument/2006/relationships/hyperlink" Target="#anchor1008" TargetMode="External"/><Relationship Id="rId30" Type="http://schemas.openxmlformats.org/officeDocument/2006/relationships/hyperlink" Target="#anchor1009" TargetMode="External"/><Relationship Id="rId31" Type="http://schemas.openxmlformats.org/officeDocument/2006/relationships/hyperlink" Target="#anchor1012" TargetMode="External"/><Relationship Id="rId32" Type="http://schemas.openxmlformats.org/officeDocument/2006/relationships/hyperlink" Target="#anchor1320" TargetMode="External"/><Relationship Id="rId33" Type="http://schemas.openxmlformats.org/officeDocument/2006/relationships/hyperlink" Target="#anchor1002" TargetMode="External"/><Relationship Id="rId34" Type="http://schemas.openxmlformats.org/officeDocument/2006/relationships/hyperlink" Target="#anchor1013" TargetMode="External"/><Relationship Id="rId35" Type="http://schemas.openxmlformats.org/officeDocument/2006/relationships/hyperlink" Target="#anchor13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2025-02-11T06:52:40Z</dcterms:modified>
</cp:coreProperties>
</file>