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42629" w:rsidRDefault="00342629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2629" w:rsidRPr="00342629" w:rsidRDefault="00342629" w:rsidP="00342629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отношении здания с кадастровым номером: </w:t>
      </w:r>
      <w:hyperlink r:id="rId7" w:history="1">
        <w:r w:rsidRPr="00342629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21:12:000000:</w:t>
        </w:r>
      </w:hyperlink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3097, 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расположенного по адресу: 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д. 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Старая Тюрлема, ул.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</w:t>
      </w:r>
      <w:proofErr w:type="spellStart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Коренькова</w:t>
      </w:r>
      <w:proofErr w:type="spellEnd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д.65, площадь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26,3 </w:t>
      </w:r>
      <w:proofErr w:type="spellStart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выявлена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Кириллова Елена Геннадьевна 19.12.1949 года рождения, место рождения – </w:t>
      </w:r>
      <w:proofErr w:type="spellStart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дер</w:t>
      </w:r>
      <w:proofErr w:type="gramStart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.Т</w:t>
      </w:r>
      <w:proofErr w:type="gramEnd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юрлема</w:t>
      </w:r>
      <w:proofErr w:type="spellEnd"/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3B6410" w:rsidRPr="00342629" w:rsidRDefault="00342629" w:rsidP="00342629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2. Право собственности Кириллов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ой</w:t>
      </w:r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Елен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ы Геннадьевны</w:t>
      </w:r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на </w:t>
      </w:r>
      <w:r w:rsidRPr="0034262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здание</w:t>
      </w:r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ого</w:t>
      </w:r>
      <w:bookmarkStart w:id="0" w:name="_GoBack"/>
      <w:bookmarkEnd w:id="0"/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 пункте</w:t>
      </w:r>
      <w:proofErr w:type="gramStart"/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настоящего постановления</w:t>
      </w:r>
      <w:r w:rsidRPr="00342629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подтверждается </w:t>
      </w:r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>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29.04.2019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выданным </w:t>
      </w:r>
      <w:r w:rsidRPr="00342629">
        <w:rPr>
          <w:rFonts w:ascii="Times New Roman" w:eastAsiaTheme="minorHAnsi" w:hAnsi="Times New Roman" w:cs="Times New Roman"/>
          <w:sz w:val="26"/>
          <w:szCs w:val="26"/>
          <w:lang w:eastAsia="en-US"/>
        </w:rPr>
        <w:t>Васильевой А.Ю., нотариусом Козловского нотариального округа Чувашской Республики, зарегистрировано в реестре за №21/50-н/21-2019-1-591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2024-03-19T05:20:00Z</dcterms:created>
  <dcterms:modified xsi:type="dcterms:W3CDTF">2024-03-19T05:20:00Z</dcterms:modified>
</cp:coreProperties>
</file>