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jc w:val="right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по вопросу 3</w:t>
      </w:r>
    </w:p>
    <w:p>
      <w:pPr>
        <w:pStyle w:val="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задачах ремонта и реконструкции дорог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городе Новочебоксарске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Протяженность сети автомобильных дорог в г. Новочебоксарск составляет 100,1 км.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общей протяженности автомобильных дорог местного значения в границах г. Новочебоксарск не отвечают нормативным требованиям 35,8 км (35,8%), отвечают нормативным требованиям 64,3 км (64,2%).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2022 года в г. Новочебоксарске в рамках национального проекта «Безопасные качественные дороги» в нормативное состояние приведено 4 участка автомобильных дорог протяженностью 4,61 км </w:t>
      </w:r>
      <w:r>
        <w:rPr>
          <w:bCs/>
          <w:sz w:val="26"/>
          <w:szCs w:val="26"/>
        </w:rPr>
        <w:t>(на 7,579 км меньше показателя 2021 г. – 12,179 км)</w:t>
      </w:r>
      <w:r>
        <w:rPr>
          <w:sz w:val="26"/>
          <w:szCs w:val="26"/>
        </w:rPr>
        <w:t xml:space="preserve"> на сумму 124,8 млн. рублей </w:t>
      </w:r>
      <w:r>
        <w:rPr>
          <w:bCs/>
          <w:sz w:val="26"/>
          <w:szCs w:val="26"/>
        </w:rPr>
        <w:t>(45,8% к уровню 2021 г. – 272 млн. рублей)</w:t>
      </w:r>
      <w:r>
        <w:rPr>
          <w:sz w:val="26"/>
          <w:szCs w:val="26"/>
        </w:rPr>
        <w:t>, в том числе 112,32 млн. руб. из республиканского бюджета и 12,48 млн. руб. из местного бюджета.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отремонтированы дороги в 8 дворовых территориях многоквартирных домов общей площадью 5 019 кв.м на сумму 10,6 млн. рублей (в том числе 9,03 млн. руб. из республиканского и 1,59 млн. руб. из местного бюджетов).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2023 году общий объем предусмотренных г. Новочебоксарску средств на ремонт и реконструкцию дорог составляет 148,6 млн. рублей, из них в рамках национального проекта «Безопасные качественные дороги» на 2023 год -                   </w:t>
      </w:r>
      <w:bookmarkStart w:id="0" w:name="_GoBack"/>
      <w:bookmarkEnd w:id="0"/>
      <w:r>
        <w:rPr>
          <w:sz w:val="26"/>
          <w:szCs w:val="26"/>
        </w:rPr>
        <w:t>133,33 млн. рублей, в том числе 120 млн. рублей из республиканского бюджета и 13,33 млн. руб. из местного бюджета.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  <w:highlight w:val="red"/>
        </w:rPr>
      </w:pPr>
      <w:r>
        <w:rPr>
          <w:rStyle w:val="Strong"/>
          <w:bCs w:val="false"/>
          <w:color w:val="000000"/>
          <w:sz w:val="26"/>
          <w:szCs w:val="26"/>
        </w:rPr>
        <w:t xml:space="preserve">1. Ремонт участков </w:t>
      </w:r>
      <w:r>
        <w:rPr>
          <w:rStyle w:val="Strong"/>
          <w:bCs w:val="false"/>
          <w:sz w:val="26"/>
          <w:szCs w:val="26"/>
        </w:rPr>
        <w:t xml:space="preserve">автомобильных дорог по улице </w:t>
      </w:r>
      <w:r>
        <w:rPr>
          <w:rStyle w:val="Strong"/>
          <w:bCs w:val="false"/>
          <w:color w:val="000000"/>
          <w:sz w:val="26"/>
          <w:szCs w:val="26"/>
        </w:rPr>
        <w:t xml:space="preserve">Советской (местные проезды от дома № 1 до дома № 7 и от дома № 49а до дома № 77) </w:t>
      </w:r>
      <w:r>
        <w:rPr>
          <w:rStyle w:val="Strong"/>
          <w:b w:val="false"/>
          <w:bCs w:val="false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bCs/>
          <w:color w:val="000000"/>
          <w:sz w:val="26"/>
          <w:szCs w:val="26"/>
          <w:highlight w:val="white"/>
          <w:lang w:eastAsia="ar-SA"/>
        </w:rPr>
      </w:pPr>
      <w:r>
        <w:rPr>
          <w:sz w:val="26"/>
          <w:szCs w:val="26"/>
          <w:lang w:eastAsia="ar-SA"/>
        </w:rPr>
        <w:t xml:space="preserve">Контракт рассчитан на </w:t>
      </w:r>
      <w:r>
        <w:rPr>
          <w:sz w:val="26"/>
          <w:szCs w:val="26"/>
          <w:u w:val="single"/>
          <w:lang w:eastAsia="ar-SA"/>
        </w:rPr>
        <w:t>два год</w:t>
      </w:r>
      <w:r>
        <w:rPr>
          <w:sz w:val="26"/>
          <w:szCs w:val="26"/>
          <w:lang w:eastAsia="ar-SA"/>
        </w:rPr>
        <w:t xml:space="preserve">а, сумма контракта </w:t>
      </w:r>
      <w:r>
        <w:rPr>
          <w:color w:val="000000"/>
          <w:sz w:val="26"/>
          <w:szCs w:val="26"/>
          <w:lang w:eastAsia="ar-SA"/>
        </w:rPr>
        <w:t>составляет</w:t>
      </w:r>
      <w:r>
        <w:rPr>
          <w:b/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>45,1 млн.</w:t>
      </w:r>
      <w:r>
        <w:rPr>
          <w:bCs/>
          <w:color w:val="000000"/>
          <w:sz w:val="26"/>
          <w:szCs w:val="26"/>
          <w:highlight w:val="white"/>
          <w:lang w:eastAsia="ar-SA"/>
        </w:rPr>
        <w:t xml:space="preserve"> рублей: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республиканский бюджет Чувашской Республики 40,6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бюджет города Новочебоксарска 4,5 млн.  рублей 60 копеек.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b/>
          <w:b/>
          <w:i/>
          <w:i/>
          <w:sz w:val="26"/>
          <w:szCs w:val="26"/>
          <w:highlight w:val="white"/>
          <w:u w:val="single"/>
          <w:lang w:eastAsia="ar-SA"/>
        </w:rPr>
      </w:pPr>
      <w:r>
        <w:rPr>
          <w:b/>
          <w:i/>
          <w:sz w:val="26"/>
          <w:szCs w:val="26"/>
          <w:highlight w:val="white"/>
          <w:u w:val="single"/>
          <w:lang w:eastAsia="ar-SA"/>
        </w:rPr>
        <w:t xml:space="preserve">2022 год: 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Сумма контракта – 18,6 млн. рублей: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республиканский бюджет Чувашской Республики 16,7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бюджет города Новочебоксарска 1,9 млн. рублей.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b/>
          <w:b/>
          <w:i/>
          <w:i/>
          <w:sz w:val="26"/>
          <w:szCs w:val="26"/>
          <w:highlight w:val="white"/>
          <w:u w:val="single"/>
        </w:rPr>
      </w:pPr>
      <w:r>
        <w:rPr>
          <w:b/>
          <w:i/>
          <w:sz w:val="26"/>
          <w:szCs w:val="26"/>
          <w:highlight w:val="white"/>
          <w:u w:val="single"/>
        </w:rPr>
        <w:t>2023 год: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  <w:lang w:eastAsia="ar-SA"/>
        </w:rPr>
      </w:pPr>
      <w:r>
        <w:rPr>
          <w:sz w:val="26"/>
          <w:szCs w:val="26"/>
          <w:highlight w:val="white"/>
          <w:lang w:eastAsia="ar-SA"/>
        </w:rPr>
        <w:t>Сумма контракта – 26,5 млн. рублей: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республиканский бюджет Чувашской Республики 23,8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  <w:lang w:eastAsia="ar-SA"/>
        </w:rPr>
        <w:t>- бюджет города Новочебоксарска 2,7 млн. рублей.</w:t>
      </w:r>
    </w:p>
    <w:p>
      <w:pPr>
        <w:pStyle w:val="Normal"/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rStyle w:val="Strong"/>
          <w:b w:val="false"/>
          <w:bCs w:val="false"/>
          <w:color w:val="000000"/>
          <w:sz w:val="26"/>
          <w:szCs w:val="26"/>
        </w:rPr>
        <w:t>По состоянию на 01.07.2023 выполнены работы по ремонту асфальтобетонного покрытия местных проездов, пешеходных дорожек, остановочных площадок, произведена замена бортовых камней.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rStyle w:val="Strong"/>
          <w:bCs w:val="false"/>
          <w:color w:val="000000"/>
          <w:sz w:val="26"/>
          <w:szCs w:val="26"/>
        </w:rPr>
      </w:pPr>
      <w:r>
        <w:rPr>
          <w:rStyle w:val="Strong"/>
          <w:bCs w:val="false"/>
          <w:color w:val="000000"/>
          <w:sz w:val="26"/>
          <w:szCs w:val="26"/>
        </w:rPr>
        <w:t>2.</w:t>
      </w:r>
      <w:r>
        <w:rPr>
          <w:rStyle w:val="Strong"/>
          <w:b w:val="false"/>
          <w:bCs w:val="false"/>
          <w:color w:val="000000"/>
          <w:sz w:val="26"/>
          <w:szCs w:val="26"/>
        </w:rPr>
        <w:t xml:space="preserve"> </w:t>
      </w:r>
      <w:r>
        <w:rPr>
          <w:rStyle w:val="Strong"/>
          <w:bCs w:val="false"/>
          <w:color w:val="000000"/>
          <w:sz w:val="26"/>
          <w:szCs w:val="26"/>
        </w:rPr>
        <w:t xml:space="preserve">Ремонт </w:t>
      </w:r>
      <w:r>
        <w:rPr>
          <w:rStyle w:val="Strong"/>
          <w:bCs w:val="false"/>
          <w:sz w:val="26"/>
          <w:szCs w:val="26"/>
        </w:rPr>
        <w:t xml:space="preserve">автомобильной дороги по улице </w:t>
      </w:r>
      <w:r>
        <w:rPr>
          <w:rStyle w:val="Strong"/>
          <w:bCs w:val="false"/>
          <w:color w:val="000000"/>
          <w:sz w:val="26"/>
          <w:szCs w:val="26"/>
        </w:rPr>
        <w:t xml:space="preserve">Воинов-Интернационалистов    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lang w:eastAsia="ar-SA"/>
        </w:rPr>
        <w:t xml:space="preserve">Контракт рассчитан на </w:t>
      </w:r>
      <w:r>
        <w:rPr>
          <w:sz w:val="26"/>
          <w:szCs w:val="26"/>
          <w:u w:val="single"/>
          <w:lang w:eastAsia="ar-SA"/>
        </w:rPr>
        <w:t>два этапа</w:t>
      </w:r>
      <w:r>
        <w:rPr>
          <w:sz w:val="26"/>
          <w:szCs w:val="26"/>
          <w:lang w:eastAsia="ar-SA"/>
        </w:rPr>
        <w:t>, с</w:t>
      </w:r>
      <w:r>
        <w:rPr>
          <w:rStyle w:val="Strong"/>
          <w:b w:val="false"/>
          <w:bCs w:val="false"/>
          <w:color w:val="000000"/>
          <w:sz w:val="26"/>
          <w:szCs w:val="26"/>
        </w:rPr>
        <w:t>умма к</w:t>
      </w:r>
      <w:r>
        <w:rPr>
          <w:sz w:val="26"/>
          <w:szCs w:val="26"/>
          <w:lang w:eastAsia="ar-SA"/>
        </w:rPr>
        <w:t xml:space="preserve">онтракта </w:t>
      </w:r>
      <w:r>
        <w:rPr>
          <w:color w:val="000000"/>
          <w:sz w:val="26"/>
          <w:szCs w:val="26"/>
          <w:lang w:eastAsia="ar-SA"/>
        </w:rPr>
        <w:t>составляет</w:t>
      </w:r>
      <w:r>
        <w:rPr>
          <w:b/>
          <w:color w:val="000000"/>
          <w:sz w:val="26"/>
          <w:szCs w:val="26"/>
          <w:lang w:eastAsia="ar-SA"/>
        </w:rPr>
        <w:t xml:space="preserve"> </w:t>
      </w:r>
      <w:r>
        <w:rPr>
          <w:color w:val="000000"/>
          <w:sz w:val="26"/>
          <w:szCs w:val="26"/>
          <w:lang w:eastAsia="ar-SA"/>
        </w:rPr>
        <w:t>71,5 млн.</w:t>
      </w:r>
      <w:r>
        <w:rPr>
          <w:bCs/>
          <w:color w:val="000000"/>
          <w:sz w:val="26"/>
          <w:szCs w:val="26"/>
          <w:highlight w:val="white"/>
          <w:lang w:eastAsia="ar-SA"/>
        </w:rPr>
        <w:t xml:space="preserve"> </w:t>
      </w:r>
      <w:r>
        <w:rPr>
          <w:bCs/>
          <w:color w:val="000000"/>
          <w:sz w:val="26"/>
          <w:szCs w:val="26"/>
          <w:lang w:eastAsia="ar-SA"/>
        </w:rPr>
        <w:t>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республиканского бюджета Чувашской Республики 64,4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  <w:lang w:eastAsia="ar-SA"/>
        </w:rPr>
      </w:pPr>
      <w:r>
        <w:rPr>
          <w:sz w:val="26"/>
          <w:szCs w:val="26"/>
          <w:highlight w:val="white"/>
          <w:lang w:eastAsia="ar-SA"/>
        </w:rPr>
        <w:t>- бюджета города Новочебоксарска 7,1  млн. рублей.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i/>
          <w:i/>
          <w:sz w:val="26"/>
          <w:szCs w:val="26"/>
          <w:highlight w:val="white"/>
          <w:u w:val="single"/>
          <w:lang w:eastAsia="ar-SA"/>
        </w:rPr>
      </w:pPr>
      <w:r>
        <w:rPr>
          <w:i/>
          <w:sz w:val="26"/>
          <w:szCs w:val="26"/>
          <w:highlight w:val="white"/>
          <w:u w:val="single"/>
          <w:lang w:val="en-US" w:eastAsia="ar-SA"/>
        </w:rPr>
        <w:t>I</w:t>
      </w:r>
      <w:r>
        <w:rPr>
          <w:i/>
          <w:sz w:val="26"/>
          <w:szCs w:val="26"/>
          <w:highlight w:val="white"/>
          <w:u w:val="single"/>
          <w:lang w:eastAsia="ar-SA"/>
        </w:rPr>
        <w:t xml:space="preserve"> этап - 2023 год </w:t>
      </w:r>
      <w:r>
        <w:rPr>
          <w:i/>
          <w:sz w:val="26"/>
          <w:szCs w:val="26"/>
          <w:u w:val="single"/>
          <w:lang w:eastAsia="ar-SA"/>
        </w:rPr>
        <w:t>( с момента заключения контракта до 01.06.2023):</w:t>
      </w:r>
      <w:r>
        <w:rPr>
          <w:i/>
          <w:sz w:val="26"/>
          <w:szCs w:val="26"/>
          <w:highlight w:val="white"/>
          <w:u w:val="single"/>
          <w:lang w:eastAsia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Сумма контракта – 50,7 млн. рублей: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республиканский бюджет Чувашской Республики 45,6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  <w:lang w:eastAsia="ar-SA"/>
        </w:rPr>
      </w:pPr>
      <w:r>
        <w:rPr>
          <w:sz w:val="26"/>
          <w:szCs w:val="26"/>
          <w:highlight w:val="white"/>
          <w:lang w:eastAsia="ar-SA"/>
        </w:rPr>
        <w:t>- бюджета города Новочебоксарска 5,1 млн. рублей.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i/>
          <w:i/>
          <w:sz w:val="26"/>
          <w:szCs w:val="26"/>
          <w:highlight w:val="white"/>
          <w:u w:val="single"/>
        </w:rPr>
      </w:pPr>
      <w:r>
        <w:rPr>
          <w:i/>
          <w:sz w:val="26"/>
          <w:szCs w:val="26"/>
          <w:highlight w:val="white"/>
          <w:u w:val="single"/>
          <w:lang w:val="en-US"/>
        </w:rPr>
        <w:t>II</w:t>
      </w:r>
      <w:r>
        <w:rPr>
          <w:i/>
          <w:sz w:val="26"/>
          <w:szCs w:val="26"/>
          <w:highlight w:val="white"/>
          <w:u w:val="single"/>
        </w:rPr>
        <w:t xml:space="preserve"> этап - 2024 год </w:t>
      </w:r>
      <w:r>
        <w:rPr>
          <w:i/>
          <w:sz w:val="26"/>
          <w:szCs w:val="26"/>
          <w:u w:val="single"/>
          <w:lang w:eastAsia="ar-SA"/>
        </w:rPr>
        <w:t>( с 01.06.2023 до 01.06.2024)</w:t>
      </w:r>
      <w:r>
        <w:rPr>
          <w:i/>
          <w:sz w:val="26"/>
          <w:szCs w:val="26"/>
          <w:highlight w:val="white"/>
          <w:u w:val="single"/>
        </w:rPr>
        <w:t>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Сумма контракта – 20,8 млн. рублей: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республиканский бюджет Чувашской Республики 18,8 млн. рублей;</w:t>
      </w:r>
    </w:p>
    <w:p>
      <w:pPr>
        <w:pStyle w:val="Normal"/>
        <w:tabs>
          <w:tab w:val="clear" w:pos="708"/>
          <w:tab w:val="left" w:pos="0" w:leader="none"/>
          <w:tab w:val="left" w:pos="360" w:leader="none"/>
          <w:tab w:val="left" w:pos="1134" w:leader="none"/>
        </w:tabs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>- бюджет города Новочебоксарска 2,1млн. руб.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rStyle w:val="Strong"/>
          <w:b w:val="false"/>
          <w:bCs w:val="false"/>
          <w:color w:val="000000"/>
          <w:sz w:val="26"/>
          <w:szCs w:val="26"/>
        </w:rPr>
        <w:t>По состоянию на 01.07.2023 выполнены работы по ремонту асфальтобетонного покрытия, пешеходных дорожек, остановочных павильонов и площадок, произведена замена бортовых камней, нанесена горизонтальная дорожая разметка.</w:t>
      </w:r>
    </w:p>
    <w:p>
      <w:pPr>
        <w:pStyle w:val="Normal"/>
        <w:ind w:firstLine="709"/>
        <w:jc w:val="both"/>
        <w:rPr>
          <w:rStyle w:val="Strong"/>
          <w:b w:val="false"/>
          <w:b w:val="false"/>
          <w:bCs w:val="false"/>
          <w:color w:val="000000"/>
          <w:sz w:val="26"/>
          <w:szCs w:val="26"/>
        </w:rPr>
      </w:pPr>
      <w:r>
        <w:rPr>
          <w:rStyle w:val="Strong"/>
          <w:b w:val="false"/>
          <w:bCs w:val="false"/>
          <w:color w:val="000000"/>
          <w:sz w:val="26"/>
          <w:szCs w:val="26"/>
        </w:rPr>
        <w:t xml:space="preserve"> </w:t>
      </w:r>
      <w:r>
        <w:rPr>
          <w:rStyle w:val="Strong"/>
          <w:b w:val="false"/>
          <w:bCs w:val="false"/>
          <w:color w:val="000000"/>
          <w:sz w:val="26"/>
          <w:szCs w:val="26"/>
        </w:rPr>
        <w:t xml:space="preserve">Завершен 1 этап и проводятся работы по завершению 2 этапа и сдаче объекта досрочно.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b/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3. Выполнено строительство наружного освещения на автодорогах по улице Восточная протяженностью 1,2 км и по улице Промышленная</w:t>
      </w:r>
      <w:r>
        <w:rPr>
          <w:b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 xml:space="preserve">протяженностью 3,46 км </w:t>
      </w:r>
      <w:r>
        <w:rPr>
          <w:b/>
          <w:sz w:val="26"/>
          <w:szCs w:val="26"/>
        </w:rPr>
        <w:t>на общую сумму 37, 6</w:t>
      </w:r>
      <w:r>
        <w:rPr>
          <w:b/>
          <w:sz w:val="26"/>
          <w:szCs w:val="26"/>
          <w:highlight w:val="white"/>
          <w:lang w:eastAsia="ar-SA"/>
        </w:rPr>
        <w:t xml:space="preserve"> млн. рублей.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yellow"/>
        </w:rPr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>4. Разрабатывается ПСД на реконструкцию автомобильной дороги по улице Строителей и автомобильной дороги по улице 10 Пятилетки</w:t>
      </w:r>
      <w:r>
        <w:rPr>
          <w:b/>
          <w:sz w:val="26"/>
          <w:szCs w:val="26"/>
        </w:rPr>
        <w:t xml:space="preserve"> на сумму 18, 5</w:t>
      </w:r>
      <w:r>
        <w:rPr>
          <w:sz w:val="26"/>
          <w:szCs w:val="26"/>
          <w:highlight w:val="white"/>
          <w:lang w:eastAsia="ar-SA"/>
        </w:rPr>
        <w:t xml:space="preserve"> </w:t>
      </w:r>
      <w:r>
        <w:rPr>
          <w:b/>
          <w:sz w:val="26"/>
          <w:szCs w:val="26"/>
          <w:highlight w:val="white"/>
          <w:lang w:eastAsia="ar-SA"/>
        </w:rPr>
        <w:t>млн. руб</w:t>
      </w:r>
      <w:r>
        <w:rPr>
          <w:b/>
          <w:sz w:val="26"/>
          <w:szCs w:val="26"/>
        </w:rPr>
        <w:t>лей (п</w:t>
      </w:r>
      <w:r>
        <w:rPr>
          <w:b/>
          <w:color w:val="000000"/>
          <w:sz w:val="26"/>
          <w:szCs w:val="26"/>
        </w:rPr>
        <w:t>роектно-сметная документация находится на экспертизе).</w:t>
      </w:r>
    </w:p>
    <w:p>
      <w:pPr>
        <w:pStyle w:val="Normal"/>
        <w:ind w:firstLine="709"/>
        <w:jc w:val="both"/>
        <w:rPr>
          <w:b/>
          <w:b/>
          <w:color w:val="000000"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yellow"/>
        </w:rPr>
      </w:r>
    </w:p>
    <w:p>
      <w:pPr>
        <w:pStyle w:val="15"/>
        <w:tabs>
          <w:tab w:val="clear" w:pos="708"/>
          <w:tab w:val="left" w:pos="0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5. Ремонт асфальтобетонного покрытия дворовых территорий много-квартирных домов и проездов к дворовым территориям многоквартирных домов в городе Новочебоксарске Чувашской Республики</w:t>
      </w:r>
    </w:p>
    <w:p>
      <w:pPr>
        <w:pStyle w:val="Normal"/>
        <w:spacing w:lineRule="atLeast" w:line="2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ремонт дворовых территорий (проездов к дворовым территориям многоквартирных домов</w:t>
      </w:r>
      <w:r>
        <w:rPr>
          <w:rStyle w:val="Strong"/>
          <w:b w:val="false"/>
          <w:bCs w:val="false"/>
          <w:color w:val="000000"/>
          <w:sz w:val="26"/>
          <w:szCs w:val="26"/>
        </w:rPr>
        <w:t xml:space="preserve"> по улице Советская д. 49, 49а, 51, 53, 53а; по улице Строителей д.10 , ул. Энергетиков д. 13; ул. Ж.Крутовой д. 13; 10 Пятилетки д. 64 и 70</w:t>
      </w:r>
      <w:r>
        <w:rPr>
          <w:sz w:val="26"/>
          <w:szCs w:val="26"/>
        </w:rPr>
        <w:t>) выделено 15,35 млн. рублей (в том числе 14,12 млн. рублей из республиканского и 1,23 млн. рублей из местного бюджета).</w:t>
      </w:r>
    </w:p>
    <w:p>
      <w:pPr>
        <w:pStyle w:val="Normal"/>
        <w:tabs>
          <w:tab w:val="clear" w:pos="708"/>
          <w:tab w:val="left" w:pos="5948" w:leader="none"/>
        </w:tabs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rStyle w:val="Strong"/>
          <w:b w:val="false"/>
          <w:bCs w:val="false"/>
          <w:color w:val="000000"/>
          <w:sz w:val="26"/>
          <w:szCs w:val="26"/>
        </w:rPr>
        <w:t>В ходе исполнения контракта проводится ремонт асфальтобетонного покрытия дворовых территорий многоквартирных домов и проездов к дворовым территориям с заменой дорожной одежды проезжей части, восстановлением смотровых колодцев, пешеходных дорожек и тротуаров, благоустройством и озеленением прилегающей территории, восстановлением входных групп и устройством пандусов, устройством новых и восстановлением существующих контейнерных площадок для складирования и хранения ТКО.</w:t>
      </w:r>
    </w:p>
    <w:p>
      <w:pPr>
        <w:pStyle w:val="Normal"/>
        <w:spacing w:before="20" w:after="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исполнения условий контрактов на содержание автодорог выполняется комплекс работ по приведению в нормативное состояние автомобильных дорог и улиц. </w:t>
      </w:r>
    </w:p>
    <w:p>
      <w:pPr>
        <w:pStyle w:val="Normal"/>
        <w:spacing w:before="20" w:after="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2023 году выполнены работы по ямочному ремонту асфальтобетонных покрытий общей площадью 275,71 кв.м на сумму 809,0 тыс. рублей.</w:t>
      </w:r>
    </w:p>
    <w:p>
      <w:pPr>
        <w:pStyle w:val="Normal"/>
        <w:spacing w:before="20" w:after="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0" w:after="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0" w:after="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25"/>
        <w:ind w:firstLine="709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Справочно:</w:t>
      </w:r>
    </w:p>
    <w:p>
      <w:pPr>
        <w:pStyle w:val="Normal"/>
        <w:spacing w:lineRule="atLeast" w:line="25"/>
        <w:ind w:firstLine="709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2024 году планируется привести в нормативное состояние 5,83 км автомобильных дорог на сумму 133,33 млн. рублей, а также 5 дворовых территорий площадью 5000 кв. м. на сумму 10,23 млн. рублей.</w:t>
      </w:r>
    </w:p>
    <w:p>
      <w:pPr>
        <w:pStyle w:val="Normal"/>
        <w:spacing w:lineRule="atLeast" w:line="25"/>
        <w:ind w:firstLine="709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2025 году планируется привести в нормативное состояние 3,95 км автомобильных дорог на сумму 133,33 млн. рублей, а также 5 дворовых территорий площадью 5000 кв.м. на сумму 10,23 млн. рублей.</w:t>
      </w:r>
    </w:p>
    <w:p>
      <w:pPr>
        <w:pStyle w:val="Normal"/>
        <w:spacing w:lineRule="atLeast" w:line="25"/>
        <w:ind w:firstLine="709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Доля нормативного состояния автомобильных дорог в границе Чебоксарской агломерации (включающие в себя дороги федерального, регионального и местного значения) по состоянию на 1 января 2023 г. составляет 77,07%, к 1 января 2024 г. данный показатель планируется увеличить до 80,85%. К началу 2025 года данный показатель должен составить 85,14% согласно паспорту регионального проекта «Дорожная сеть» национального проекта «Безопасные качественные дороги».</w:t>
      </w:r>
    </w:p>
    <w:p>
      <w:pPr>
        <w:pStyle w:val="Normal"/>
        <w:spacing w:lineRule="atLeast" w:line="25"/>
        <w:ind w:firstLine="709"/>
        <w:jc w:val="both"/>
        <w:rPr>
          <w:b/>
          <w:b/>
          <w:bCs/>
          <w:i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По состоянию на 1 января 2023 г. по городу Новочебоксарску соответствующий показатель составил 67,9%.</w:t>
      </w:r>
    </w:p>
    <w:p>
      <w:pPr>
        <w:pStyle w:val="Normal"/>
        <w:ind w:firstLine="709"/>
        <w:jc w:val="both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Согласно Посланию Президента РФ Федеральному Собранию от 21.02.2023 в 2024 году </w:t>
      </w:r>
      <w:r>
        <w:rPr>
          <w:b/>
          <w:bCs/>
          <w:i/>
          <w:iCs/>
          <w:sz w:val="26"/>
          <w:szCs w:val="26"/>
        </w:rPr>
        <w:t>не менее 85 процентов дорог</w:t>
      </w:r>
      <w:r>
        <w:rPr>
          <w:i/>
          <w:iCs/>
          <w:sz w:val="26"/>
          <w:szCs w:val="26"/>
        </w:rPr>
        <w:t xml:space="preserve"> в крупнейших агломерациях страны, а также более половины дорог регионального и межмуниципального значения </w:t>
      </w:r>
      <w:r>
        <w:rPr>
          <w:b/>
          <w:bCs/>
          <w:i/>
          <w:iCs/>
          <w:sz w:val="26"/>
          <w:szCs w:val="26"/>
        </w:rPr>
        <w:t>должны быть приведены в нормативное состояние</w:t>
      </w:r>
      <w:r>
        <w:rPr>
          <w:i/>
          <w:iCs/>
          <w:sz w:val="26"/>
          <w:szCs w:val="26"/>
        </w:rPr>
        <w:t xml:space="preserve">. </w:t>
      </w:r>
    </w:p>
    <w:p>
      <w:pPr>
        <w:pStyle w:val="Normal"/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rStyle w:val="Strong"/>
          <w:b w:val="false"/>
          <w:b w:val="false"/>
          <w:color w:val="000000"/>
          <w:sz w:val="26"/>
          <w:szCs w:val="26"/>
        </w:rPr>
      </w:pPr>
      <w:r>
        <w:rPr>
          <w:b w:val="false"/>
          <w:color w:val="000000"/>
          <w:sz w:val="26"/>
          <w:szCs w:val="26"/>
        </w:rPr>
      </w:r>
    </w:p>
    <w:p>
      <w:pPr>
        <w:pStyle w:val="Normal"/>
        <w:ind w:firstLine="73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,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284" w:top="1134" w:footer="601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Текст концевой сноски Знак"/>
    <w:link w:val="a3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Название Знак"/>
    <w:basedOn w:val="DefaultParagraphFont"/>
    <w:link w:val="a7"/>
    <w:uiPriority w:val="10"/>
    <w:qFormat/>
    <w:rPr>
      <w:sz w:val="48"/>
      <w:szCs w:val="48"/>
    </w:rPr>
  </w:style>
  <w:style w:type="character" w:styleId="Style8" w:customStyle="1">
    <w:name w:val="Подзаголовок Знак"/>
    <w:basedOn w:val="DefaultParagraphFont"/>
    <w:link w:val="aa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9" w:customStyle="1">
    <w:name w:val="Выделенная цитата Знак"/>
    <w:link w:val="ac"/>
    <w:uiPriority w:val="30"/>
    <w:qFormat/>
    <w:rPr>
      <w:i/>
    </w:rPr>
  </w:style>
  <w:style w:type="character" w:styleId="12" w:customStyle="1">
    <w:name w:val="Верхний колонтитул Знак1"/>
    <w:basedOn w:val="DefaultParagraphFont"/>
    <w:link w:val="ae"/>
    <w:uiPriority w:val="99"/>
    <w:qFormat/>
    <w:rPr/>
  </w:style>
  <w:style w:type="character" w:styleId="13" w:customStyle="1">
    <w:name w:val="Нижний колонтитул Знак1"/>
    <w:basedOn w:val="DefaultParagraphFont"/>
    <w:link w:val="af"/>
    <w:uiPriority w:val="99"/>
    <w:qFormat/>
    <w:rPr/>
  </w:style>
  <w:style w:type="character" w:styleId="Style10">
    <w:name w:val="Интернет-ссылка"/>
    <w:uiPriority w:val="99"/>
    <w:unhideWhenUsed/>
    <w:rPr>
      <w:color w:val="0000FF" w:themeColor="hyperlink"/>
      <w:u w:val="single"/>
    </w:rPr>
  </w:style>
  <w:style w:type="character" w:styleId="Style11" w:customStyle="1">
    <w:name w:val="Текст сноски Знак"/>
    <w:link w:val="af2"/>
    <w:uiPriority w:val="99"/>
    <w:qFormat/>
    <w:rPr>
      <w:sz w:val="18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3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4"/>
    <w:qFormat/>
    <w:rPr>
      <w:rFonts w:ascii="TimesET" w:hAnsi="TimesET" w:eastAsia="Times New Roman" w:cs="Times New Roman"/>
      <w:sz w:val="24"/>
      <w:szCs w:val="20"/>
      <w:lang w:eastAsia="ru-RU"/>
    </w:rPr>
  </w:style>
  <w:style w:type="character" w:styleId="FontStyle23" w:customStyle="1">
    <w:name w:val="Font Style23"/>
    <w:qFormat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Выделение"/>
    <w:qFormat/>
    <w:rPr>
      <w:i/>
      <w:iCs/>
    </w:rPr>
  </w:style>
  <w:style w:type="character" w:styleId="Style16" w:customStyle="1">
    <w:name w:val="Текст выноски Знак"/>
    <w:basedOn w:val="DefaultParagraphFont"/>
    <w:link w:val="aff1"/>
    <w:uiPriority w:val="99"/>
    <w:semiHidden/>
    <w:qFormat/>
    <w:rsid w:val="00d82580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Endnote Text"/>
    <w:basedOn w:val="Normal"/>
    <w:link w:val="a4"/>
    <w:uiPriority w:val="99"/>
    <w:semiHidden/>
    <w:unhideWhenUsed/>
    <w:pPr/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3">
    <w:name w:val="Title"/>
    <w:basedOn w:val="Normal"/>
    <w:next w:val="Style18"/>
    <w:link w:val="a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Subtitle"/>
    <w:basedOn w:val="Normal"/>
    <w:next w:val="Normal"/>
    <w:link w:val="ab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Footnote Text"/>
    <w:basedOn w:val="Normal"/>
    <w:link w:val="af3"/>
    <w:uiPriority w:val="99"/>
    <w:semiHidden/>
    <w:unhideWhenUsed/>
    <w:pPr>
      <w:spacing w:before="0" w:after="40"/>
    </w:pPr>
    <w:rPr>
      <w:sz w:val="18"/>
    </w:rPr>
  </w:style>
  <w:style w:type="paragraph" w:styleId="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4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6">
    <w:name w:val="Index Heading"/>
    <w:basedOn w:val="Style17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2"/>
      <w:lang w:val="ru-RU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/>
    <w:rPr>
      <w:rFonts w:cs="Arial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11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30">
    <w:name w:val="Footer"/>
    <w:basedOn w:val="Normal"/>
    <w:link w:val="12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2">
    <w:name w:val="Body Text Indent 2"/>
    <w:basedOn w:val="Normal"/>
    <w:qFormat/>
    <w:pPr>
      <w:ind w:firstLine="720"/>
    </w:pPr>
    <w:rPr>
      <w:rFonts w:ascii="TimesET" w:hAnsi="TimesET"/>
      <w:sz w:val="24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0"/>
      <w:szCs w:val="22"/>
      <w:lang w:eastAsia="zh-CN" w:val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31" w:customStyle="1">
    <w:name w:val="Содержимое таблицы"/>
    <w:basedOn w:val="Normal"/>
    <w:qFormat/>
    <w:pPr/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15" w:customStyle="1">
    <w:name w:val="Обычный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eastAsia="ru-RU" w:val="ru-RU" w:bidi="ar-SA"/>
    </w:rPr>
  </w:style>
  <w:style w:type="paragraph" w:styleId="BalloonText">
    <w:name w:val="Balloon Text"/>
    <w:basedOn w:val="Normal"/>
    <w:link w:val="aff2"/>
    <w:uiPriority w:val="99"/>
    <w:semiHidden/>
    <w:unhideWhenUsed/>
    <w:qFormat/>
    <w:rsid w:val="00d8258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96B8-6549-4B3B-AD89-F7386D11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3</Pages>
  <Words>839</Words>
  <Characters>5166</Characters>
  <CharactersWithSpaces>5995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2023-07-17T11:54:00Z</dcterms:created>
  <dc:creator>Плотников А.Е.</dc:creator>
  <dc:description/>
  <dc:language>ru-RU</dc:language>
  <cp:lastModifiedBy>Фадеев Михаил Николаевич</cp:lastModifiedBy>
  <cp:lastPrinted>2023-07-17T14:43:00Z</cp:lastPrinted>
  <dcterms:modified xsi:type="dcterms:W3CDTF">2023-07-17T14:46:00Z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