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91" w:rsidRDefault="00584BE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8D3491" w:rsidRDefault="00584BE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антимонопольного комплаенса в </w:t>
      </w: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администрации </w:t>
      </w:r>
    </w:p>
    <w:p w:rsidR="008D3491" w:rsidRDefault="00584BE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 </w:t>
      </w:r>
      <w:r w:rsidR="0014415A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>Канашского</w:t>
      </w: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 муниципального округа  Чувашской Республики</w:t>
      </w:r>
      <w:r w:rsidR="0014415A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ar-SA"/>
        </w:rPr>
        <w:t xml:space="preserve"> в 2024</w:t>
      </w:r>
      <w:r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ar-SA"/>
        </w:rPr>
        <w:t xml:space="preserve"> году</w:t>
      </w:r>
    </w:p>
    <w:p w:rsidR="008D3491" w:rsidRDefault="008D3491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D3491" w:rsidRDefault="00584BE1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Ключевые показатели эффективности функционирования антимон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hAnsi="Arial" w:cs="Arial"/>
          <w:bCs/>
          <w:sz w:val="26"/>
          <w:szCs w:val="26"/>
        </w:rPr>
        <w:t>польного комплаенса</w:t>
      </w:r>
      <w:r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 xml:space="preserve">администрации </w:t>
      </w:r>
      <w:r w:rsidR="0014415A"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>Канашского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 xml:space="preserve"> муниципального округа  Ч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>у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>вашской Республики</w:t>
      </w:r>
      <w:r>
        <w:rPr>
          <w:rFonts w:ascii="Arial" w:hAnsi="Arial" w:cs="Arial"/>
          <w:sz w:val="26"/>
          <w:szCs w:val="26"/>
        </w:rPr>
        <w:t xml:space="preserve"> (далее – Администрация):</w:t>
      </w:r>
    </w:p>
    <w:p w:rsidR="008D3491" w:rsidRDefault="00584BE1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количество нарушений Администрации</w:t>
      </w:r>
      <w:r w:rsidR="0014415A" w:rsidRPr="0014415A">
        <w:t xml:space="preserve"> </w:t>
      </w:r>
      <w:r w:rsidR="0014415A" w:rsidRPr="0014415A">
        <w:rPr>
          <w:rFonts w:ascii="Arial" w:hAnsi="Arial" w:cs="Arial"/>
          <w:bCs/>
          <w:sz w:val="26"/>
          <w:szCs w:val="26"/>
        </w:rPr>
        <w:t>антимонопольного законод</w:t>
      </w:r>
      <w:r w:rsidR="0014415A" w:rsidRPr="0014415A">
        <w:rPr>
          <w:rFonts w:ascii="Arial" w:hAnsi="Arial" w:cs="Arial"/>
          <w:bCs/>
          <w:sz w:val="26"/>
          <w:szCs w:val="26"/>
        </w:rPr>
        <w:t>а</w:t>
      </w:r>
      <w:r w:rsidR="0014415A" w:rsidRPr="0014415A">
        <w:rPr>
          <w:rFonts w:ascii="Arial" w:hAnsi="Arial" w:cs="Arial"/>
          <w:bCs/>
          <w:sz w:val="26"/>
          <w:szCs w:val="26"/>
        </w:rPr>
        <w:t>тельства;</w:t>
      </w:r>
    </w:p>
    <w:p w:rsidR="008D3491" w:rsidRDefault="00584BE1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доля проектов нормативных правовых актов, разработанных Админ</w:t>
      </w:r>
      <w:r>
        <w:rPr>
          <w:rFonts w:ascii="Arial" w:hAnsi="Arial" w:cs="Arial"/>
          <w:bCs/>
          <w:sz w:val="26"/>
          <w:szCs w:val="26"/>
        </w:rPr>
        <w:t>и</w:t>
      </w:r>
      <w:r>
        <w:rPr>
          <w:rFonts w:ascii="Arial" w:hAnsi="Arial" w:cs="Arial"/>
          <w:bCs/>
          <w:sz w:val="26"/>
          <w:szCs w:val="26"/>
        </w:rPr>
        <w:t>страцией, в которых выявлены риски нарушения антимонопольного законод</w:t>
      </w:r>
      <w:r>
        <w:rPr>
          <w:rFonts w:ascii="Arial" w:hAnsi="Arial" w:cs="Arial"/>
          <w:bCs/>
          <w:sz w:val="26"/>
          <w:szCs w:val="26"/>
        </w:rPr>
        <w:t>а</w:t>
      </w:r>
      <w:r>
        <w:rPr>
          <w:rFonts w:ascii="Arial" w:hAnsi="Arial" w:cs="Arial"/>
          <w:bCs/>
          <w:sz w:val="26"/>
          <w:szCs w:val="26"/>
        </w:rPr>
        <w:t>тельства;</w:t>
      </w:r>
    </w:p>
    <w:p w:rsidR="008D3491" w:rsidRDefault="00584BE1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доля сотрудников Администрации, в отношении которых проведены обучающие мероприятия по антимонопольному законодательству и антим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hAnsi="Arial" w:cs="Arial"/>
          <w:bCs/>
          <w:sz w:val="26"/>
          <w:szCs w:val="26"/>
        </w:rPr>
        <w:t>нопольному комплаенсу.</w:t>
      </w:r>
    </w:p>
    <w:p w:rsidR="008D3491" w:rsidRDefault="00584BE1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Расчет ключевых показателей эффективности функционирования ант</w:t>
      </w:r>
      <w:r>
        <w:rPr>
          <w:rFonts w:ascii="Arial" w:hAnsi="Arial" w:cs="Arial"/>
          <w:bCs/>
          <w:sz w:val="26"/>
          <w:szCs w:val="26"/>
        </w:rPr>
        <w:t>и</w:t>
      </w:r>
      <w:r>
        <w:rPr>
          <w:rFonts w:ascii="Arial" w:hAnsi="Arial" w:cs="Arial"/>
          <w:bCs/>
          <w:sz w:val="26"/>
          <w:szCs w:val="26"/>
        </w:rPr>
        <w:t>монопольного комплаенса в Администрации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</w:t>
      </w:r>
      <w:r>
        <w:rPr>
          <w:rFonts w:ascii="Arial" w:hAnsi="Arial" w:cs="Arial"/>
          <w:bCs/>
          <w:sz w:val="26"/>
          <w:szCs w:val="26"/>
        </w:rPr>
        <w:t>н</w:t>
      </w:r>
      <w:r>
        <w:rPr>
          <w:rFonts w:ascii="Arial" w:hAnsi="Arial" w:cs="Arial"/>
          <w:bCs/>
          <w:sz w:val="26"/>
          <w:szCs w:val="26"/>
        </w:rPr>
        <w:t>са, утвержденной приказом ФАС России от 05.02.2019 № 133/19 «Об утве</w:t>
      </w:r>
      <w:r>
        <w:rPr>
          <w:rFonts w:ascii="Arial" w:hAnsi="Arial" w:cs="Arial"/>
          <w:bCs/>
          <w:sz w:val="26"/>
          <w:szCs w:val="26"/>
        </w:rPr>
        <w:t>р</w:t>
      </w:r>
      <w:r>
        <w:rPr>
          <w:rFonts w:ascii="Arial" w:hAnsi="Arial" w:cs="Arial"/>
          <w:bCs/>
          <w:sz w:val="26"/>
          <w:szCs w:val="26"/>
        </w:rPr>
        <w:t>ждении методики расчета ключевых показателей эффективности функцион</w:t>
      </w:r>
      <w:r>
        <w:rPr>
          <w:rFonts w:ascii="Arial" w:hAnsi="Arial" w:cs="Arial"/>
          <w:bCs/>
          <w:sz w:val="26"/>
          <w:szCs w:val="26"/>
        </w:rPr>
        <w:t>и</w:t>
      </w:r>
      <w:r>
        <w:rPr>
          <w:rFonts w:ascii="Arial" w:hAnsi="Arial" w:cs="Arial"/>
          <w:bCs/>
          <w:sz w:val="26"/>
          <w:szCs w:val="26"/>
        </w:rPr>
        <w:t>рования в федеральном органе исполнительной власти антимонопольного комплаенса».</w:t>
      </w:r>
      <w:proofErr w:type="gramEnd"/>
    </w:p>
    <w:p w:rsidR="008D3491" w:rsidRDefault="008D3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3491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1"/>
    <w:rsid w:val="0014415A"/>
    <w:rsid w:val="00584BE1"/>
    <w:rsid w:val="008D3491"/>
    <w:rsid w:val="00A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9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36C44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B439C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B439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1B439C"/>
    <w:rPr>
      <w:color w:val="0563C1" w:themeColor="hyperlink"/>
      <w:u w:val="single"/>
    </w:rPr>
  </w:style>
  <w:style w:type="character" w:customStyle="1" w:styleId="a6">
    <w:name w:val="Цветовое выделение"/>
    <w:qFormat/>
  </w:style>
  <w:style w:type="character" w:styleId="a7">
    <w:name w:val="Strong"/>
    <w:qFormat/>
    <w:rPr>
      <w:b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endnote text"/>
    <w:basedOn w:val="a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4"/>
      <w:szCs w:val="20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kern w:val="2"/>
      <w:sz w:val="24"/>
      <w:szCs w:val="20"/>
      <w:lang w:eastAsia="hi-IN"/>
    </w:rPr>
  </w:style>
  <w:style w:type="paragraph" w:customStyle="1" w:styleId="af">
    <w:name w:val="Таблицы (моноширинный)"/>
    <w:basedOn w:val="a"/>
    <w:qFormat/>
    <w:rPr>
      <w:rFonts w:ascii="Arial" w:hAnsi="Arial"/>
      <w:lang w:eastAsia="ar-SA"/>
    </w:rPr>
  </w:style>
  <w:style w:type="paragraph" w:styleId="af0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13">
    <w:name w:val="13"/>
    <w:basedOn w:val="a"/>
    <w:qFormat/>
    <w:rPr>
      <w:sz w:val="28"/>
      <w:lang w:eastAsia="ru-RU"/>
    </w:rPr>
  </w:style>
  <w:style w:type="table" w:styleId="af1">
    <w:name w:val="Table Grid"/>
    <w:basedOn w:val="a1"/>
    <w:uiPriority w:val="39"/>
    <w:rsid w:val="00DE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9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36C44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B439C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B439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1B439C"/>
    <w:rPr>
      <w:color w:val="0563C1" w:themeColor="hyperlink"/>
      <w:u w:val="single"/>
    </w:rPr>
  </w:style>
  <w:style w:type="character" w:customStyle="1" w:styleId="a6">
    <w:name w:val="Цветовое выделение"/>
    <w:qFormat/>
  </w:style>
  <w:style w:type="character" w:styleId="a7">
    <w:name w:val="Strong"/>
    <w:qFormat/>
    <w:rPr>
      <w:b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endnote text"/>
    <w:basedOn w:val="a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4"/>
      <w:szCs w:val="20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kern w:val="2"/>
      <w:sz w:val="24"/>
      <w:szCs w:val="20"/>
      <w:lang w:eastAsia="hi-IN"/>
    </w:rPr>
  </w:style>
  <w:style w:type="paragraph" w:customStyle="1" w:styleId="af">
    <w:name w:val="Таблицы (моноширинный)"/>
    <w:basedOn w:val="a"/>
    <w:qFormat/>
    <w:rPr>
      <w:rFonts w:ascii="Arial" w:hAnsi="Arial"/>
      <w:lang w:eastAsia="ar-SA"/>
    </w:rPr>
  </w:style>
  <w:style w:type="paragraph" w:styleId="af0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13">
    <w:name w:val="13"/>
    <w:basedOn w:val="a"/>
    <w:qFormat/>
    <w:rPr>
      <w:sz w:val="28"/>
      <w:lang w:eastAsia="ru-RU"/>
    </w:rPr>
  </w:style>
  <w:style w:type="table" w:styleId="af1">
    <w:name w:val="Table Grid"/>
    <w:basedOn w:val="a1"/>
    <w:uiPriority w:val="39"/>
    <w:rsid w:val="00DE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3FF2-E280-4993-B006-D0EEF25C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Алексеева Татьяна Валерьевна</cp:lastModifiedBy>
  <cp:revision>3</cp:revision>
  <dcterms:created xsi:type="dcterms:W3CDTF">2024-02-08T06:43:00Z</dcterms:created>
  <dcterms:modified xsi:type="dcterms:W3CDTF">2024-02-08T06:52:00Z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