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tblpY="1259"/>
        <w:tblW w:w="0" w:type="auto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>
        <w:trPr>
          <w:trHeight w:val="1559"/>
        </w:trPr>
        <w:tc>
          <w:tcPr>
            <w:tcW w:w="3799" w:type="dxa"/>
          </w:tcPr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Чувашская</w:t>
            </w:r>
            <w:r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Республика</w:t>
            </w:r>
          </w:p>
          <w:p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8"/>
                <w:szCs w:val="24"/>
                <w:lang w:eastAsia="ru-RU"/>
              </w:rPr>
            </w:pP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Чебоксарское</w:t>
            </w:r>
            <w:r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городское</w:t>
            </w: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Собрание</w:t>
            </w:r>
            <w:r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депутатов</w:t>
            </w:r>
          </w:p>
          <w:p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left="-112" w:right="-102"/>
              <w:jc w:val="center"/>
              <w:textAlignment w:val="baseline"/>
              <w:rPr>
                <w:rFonts w:ascii="Baltica Chv" w:eastAsia="Times New Roman" w:hAnsi="Baltica Chv" w:cs="Times New Roman"/>
                <w:b/>
                <w:szCs w:val="24"/>
                <w:lang w:eastAsia="ru-RU"/>
              </w:rPr>
            </w:pP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Baltica Chv" w:eastAsia="Times New Roman" w:hAnsi="Baltica Chv" w:cs="Times New Roman"/>
                <w:b/>
                <w:caps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pacing w:val="40"/>
                <w:szCs w:val="24"/>
                <w:lang w:eastAsia="ru-RU"/>
              </w:rPr>
              <w:t>РЕШЕНИЕ</w:t>
            </w: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outlineLvl w:val="3"/>
              <w:rPr>
                <w:rFonts w:ascii="Baltica Chv" w:eastAsia="Times New Roman" w:hAnsi="Baltica Chv" w:cs="Times New Roman"/>
                <w:b/>
                <w:caps/>
                <w:spacing w:val="40"/>
                <w:szCs w:val="24"/>
                <w:lang w:eastAsia="ru-RU"/>
              </w:rPr>
            </w:pPr>
          </w:p>
        </w:tc>
        <w:tc>
          <w:tcPr>
            <w:tcW w:w="1588" w:type="dxa"/>
          </w:tcPr>
          <w:p>
            <w:pPr>
              <w:overflowPunct w:val="0"/>
              <w:autoSpaceDE w:val="0"/>
              <w:autoSpaceDN w:val="0"/>
              <w:adjustRightInd w:val="0"/>
              <w:spacing w:after="0" w:line="240" w:lineRule="auto"/>
              <w:ind w:right="-1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4"/>
                <w:lang w:eastAsia="ru-RU"/>
              </w:rPr>
              <w:drawing>
                <wp:inline distT="0" distB="0" distL="0" distR="0">
                  <wp:extent cx="546735" cy="695960"/>
                  <wp:effectExtent l="0" t="0" r="5715" b="8890"/>
                  <wp:docPr id="2" name="Рисунок 2" descr="SMALLGERB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SMALLGERB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6735" cy="695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37" w:type="dxa"/>
          </w:tcPr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Чǎваш</w:t>
            </w:r>
            <w:r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Республики</w:t>
            </w:r>
          </w:p>
          <w:p>
            <w:pPr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Baltica Chv" w:eastAsia="Times New Roman" w:hAnsi="Baltica Chv" w:cs="Times New Roman"/>
                <w:b/>
                <w:spacing w:val="40"/>
                <w:sz w:val="8"/>
                <w:szCs w:val="24"/>
                <w:lang w:eastAsia="ru-RU"/>
              </w:rPr>
            </w:pP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Шупашкар</w:t>
            </w:r>
            <w:r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хулин</w:t>
            </w: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7"/>
              <w:jc w:val="center"/>
              <w:textAlignment w:val="baseline"/>
              <w:outlineLvl w:val="2"/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депутатсен</w:t>
            </w:r>
            <w:r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  <w:t>Пухăвĕ</w:t>
            </w:r>
          </w:p>
          <w:p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Baltica Chv" w:eastAsia="Times New Roman" w:hAnsi="Baltica Chv" w:cs="Times New Roman"/>
                <w:b/>
                <w:spacing w:val="40"/>
                <w:szCs w:val="24"/>
                <w:lang w:eastAsia="ru-RU"/>
              </w:rPr>
            </w:pPr>
          </w:p>
          <w:p>
            <w:pPr>
              <w:keepNext/>
              <w:overflowPunct w:val="0"/>
              <w:autoSpaceDE w:val="0"/>
              <w:autoSpaceDN w:val="0"/>
              <w:adjustRightInd w:val="0"/>
              <w:spacing w:after="0" w:line="240" w:lineRule="auto"/>
              <w:ind w:left="-108" w:right="-102"/>
              <w:jc w:val="center"/>
              <w:textAlignment w:val="baseline"/>
              <w:outlineLvl w:val="2"/>
              <w:rPr>
                <w:rFonts w:ascii="Times New Roman" w:eastAsia="Times New Roman" w:hAnsi="Times New Roman" w:cs="Times New Roman"/>
                <w:b/>
                <w:spacing w:val="40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Cs w:val="24"/>
                <w:lang w:eastAsia="ru-RU"/>
              </w:rPr>
              <w:t>ЙЫШĂНУ</w:t>
            </w:r>
          </w:p>
        </w:tc>
      </w:tr>
    </w:tbl>
    <w:p>
      <w:pPr>
        <w:spacing w:after="0" w:line="288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26 октября 2023 года № 140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>3</w:t>
      </w:r>
      <w:bookmarkStart w:id="0" w:name="_GoBack"/>
      <w:bookmarkEnd w:id="0"/>
    </w:p>
    <w:p>
      <w:pPr>
        <w:spacing w:after="0" w:line="288" w:lineRule="auto"/>
        <w:ind w:right="-1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>
      <w:pPr>
        <w:spacing w:after="0" w:line="240" w:lineRule="auto"/>
        <w:ind w:right="4393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О внесении изменений в местные нормативы градостроительного проектирования «Градостроительство. Планировка и застройка Чебоксарского городского округа», утвержденные решением Чебоксарского городского Собрания депутатов от 25 декабря 2018 года № 1517</w:t>
      </w:r>
    </w:p>
    <w:p>
      <w:pPr>
        <w:spacing w:after="0" w:line="240" w:lineRule="auto"/>
        <w:ind w:right="4393"/>
        <w:jc w:val="both"/>
        <w:rPr>
          <w:rFonts w:ascii="Times New Roman CYR" w:hAnsi="Times New Roman CYR"/>
          <w:sz w:val="28"/>
          <w:szCs w:val="28"/>
        </w:rPr>
      </w:pPr>
    </w:p>
    <w:p>
      <w:pPr>
        <w:spacing w:after="120" w:line="360" w:lineRule="auto"/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6 октября 2003 года № 131–ФЗ «Об общих принципах организации местного самоуправления в Российской Федерации», Законом Чувашской Республики от 4 июня 2007 года № 11 «О регулировании градостроительной деятельности в Чувашской Республике», Уставом муниципального образования города Чебоксары – столицы Чувашской Республики, решением Чебоксарского городского Собрания депутатов от                17 марта 2009 года № 1264 «О Положениях в сфере градостроительной деятельности», постановлением администрации города Чебоксары от                       28 июля 2023 года № 2669 «О подготовке проекта внесения изменений в местные нормативы градостроительного проектирования «Градостроительство. Планировка и застройка Чебоксарского городского округа», утвержденные решением Чебоксарского городского Собрания депутатов от 25 декабря 2018 года № 1517», </w:t>
      </w:r>
    </w:p>
    <w:p>
      <w:pPr>
        <w:spacing w:after="120"/>
        <w:ind w:firstLine="709"/>
        <w:jc w:val="center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Чебоксарское городское Собрание депутатов</w:t>
      </w:r>
    </w:p>
    <w:p>
      <w:pPr>
        <w:spacing w:after="120"/>
        <w:ind w:firstLine="709"/>
        <w:jc w:val="center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Р Е Ш И Л О:</w:t>
      </w:r>
    </w:p>
    <w:p>
      <w:pPr>
        <w:spacing w:after="0" w:line="360" w:lineRule="auto"/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1. Внести в </w:t>
      </w:r>
      <w:bookmarkStart w:id="1" w:name="sub_1314"/>
      <w:r>
        <w:rPr>
          <w:rFonts w:ascii="Times New Roman CYR" w:hAnsi="Times New Roman CYR"/>
          <w:sz w:val="28"/>
          <w:szCs w:val="28"/>
        </w:rPr>
        <w:t xml:space="preserve">местные нормативы градостроительного проектирования «Градостроительство. Планировка и застройка Чебоксарского городского округа», утвержденные решением Чебоксарского городского Собрания </w:t>
      </w:r>
      <w:r>
        <w:rPr>
          <w:rFonts w:ascii="Times New Roman CYR" w:hAnsi="Times New Roman CYR"/>
          <w:sz w:val="28"/>
          <w:szCs w:val="28"/>
        </w:rPr>
        <w:lastRenderedPageBreak/>
        <w:t>депутатов от 25 декабря 2018 года № 1517</w:t>
      </w:r>
      <w:r>
        <w:t xml:space="preserve"> (</w:t>
      </w:r>
      <w:r>
        <w:rPr>
          <w:rFonts w:ascii="Times New Roman CYR" w:hAnsi="Times New Roman CYR"/>
          <w:sz w:val="28"/>
          <w:szCs w:val="28"/>
        </w:rPr>
        <w:t>в редакции решения Чебоксарского городского Собрания депутатов от 17 мая 2022 года № 753), следующие изменения:</w:t>
      </w:r>
    </w:p>
    <w:p>
      <w:pPr>
        <w:pStyle w:val="a3"/>
        <w:tabs>
          <w:tab w:val="left" w:pos="1701"/>
        </w:tabs>
        <w:spacing w:after="0" w:line="360" w:lineRule="auto"/>
        <w:ind w:left="0"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а) в разделе 1 «Основная часть» пункт 1 таблицы 1.4.1 изложить в следующей редакции:</w:t>
      </w:r>
    </w:p>
    <w:p>
      <w:pPr>
        <w:pStyle w:val="a3"/>
        <w:tabs>
          <w:tab w:val="left" w:pos="1701"/>
        </w:tabs>
        <w:spacing w:after="0" w:line="360" w:lineRule="auto"/>
        <w:ind w:left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«</w:t>
      </w:r>
    </w:p>
    <w:tbl>
      <w:tblPr>
        <w:tblW w:w="954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1"/>
        <w:gridCol w:w="2948"/>
        <w:gridCol w:w="1814"/>
        <w:gridCol w:w="1148"/>
        <w:gridCol w:w="1701"/>
        <w:gridCol w:w="1404"/>
      </w:tblGrid>
      <w:t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№</w:t>
            </w:r>
          </w:p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п/п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Наименование объекта</w:t>
            </w: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310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 xml:space="preserve">Расчетный показатель максимально допустимого уровня территориальной доступности </w:t>
            </w:r>
            <w:hyperlink r:id="rId8" w:history="1">
              <w:r>
                <w:rPr>
                  <w:rFonts w:ascii="Times New Roman CYR" w:hAnsi="Times New Roman CYR" w:cs="Times New Roman CYR"/>
                  <w:color w:val="0000FF"/>
                  <w:sz w:val="24"/>
                  <w:szCs w:val="28"/>
                </w:rPr>
                <w:t>&lt;*&gt;</w:t>
              </w:r>
            </w:hyperlink>
          </w:p>
        </w:tc>
      </w:tr>
      <w:tr>
        <w:tc>
          <w:tcPr>
            <w:tcW w:w="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Единица измерения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Величина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Единица измерения</w:t>
            </w: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Величина</w:t>
            </w:r>
          </w:p>
        </w:tc>
      </w:tr>
      <w:t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1.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Дошкольные образовательные организации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Кол-во мест на 100 детей в возрасте от 0 до 7 лет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109,3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Пешеходная доступность, м</w:t>
            </w:r>
          </w:p>
        </w:tc>
        <w:tc>
          <w:tcPr>
            <w:tcW w:w="1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500</w:t>
            </w:r>
          </w:p>
        </w:tc>
      </w:tr>
      <w:t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  <w:r>
              <w:rPr>
                <w:rFonts w:ascii="Times New Roman CYR" w:hAnsi="Times New Roman CYR" w:cs="Times New Roman CYR"/>
                <w:sz w:val="24"/>
                <w:szCs w:val="28"/>
              </w:rPr>
              <w:t>Количество мест на 1000 чел. населения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89 </w:t>
            </w: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</w:p>
        </w:tc>
        <w:tc>
          <w:tcPr>
            <w:tcW w:w="14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8"/>
              </w:rPr>
            </w:pPr>
          </w:p>
        </w:tc>
      </w:tr>
    </w:tbl>
    <w:p>
      <w:pPr>
        <w:tabs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 xml:space="preserve">                                                                                                                     »;</w:t>
      </w:r>
    </w:p>
    <w:p>
      <w:pPr>
        <w:tabs>
          <w:tab w:val="left" w:pos="851"/>
          <w:tab w:val="left" w:pos="1276"/>
        </w:tabs>
        <w:spacing w:after="0" w:line="360" w:lineRule="auto"/>
        <w:ind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б) в разделе 2 «Материалы по обоснованию расчетных показателей, содержащихся в основной части» подпункт 4.1 пункта 4 таблицы 2.1 изложить в следующей редакции:</w:t>
      </w:r>
    </w:p>
    <w:p>
      <w:pPr>
        <w:tabs>
          <w:tab w:val="left" w:pos="851"/>
          <w:tab w:val="left" w:pos="1276"/>
        </w:tabs>
        <w:spacing w:after="0" w:line="360" w:lineRule="auto"/>
        <w:ind w:left="360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«</w:t>
      </w:r>
    </w:p>
    <w:tbl>
      <w:tblPr>
        <w:tblStyle w:val="a5"/>
        <w:tblW w:w="9606" w:type="dxa"/>
        <w:tblLook w:val="04A0" w:firstRow="1" w:lastRow="0" w:firstColumn="1" w:lastColumn="0" w:noHBand="0" w:noVBand="1"/>
      </w:tblPr>
      <w:tblGrid>
        <w:gridCol w:w="696"/>
        <w:gridCol w:w="2889"/>
        <w:gridCol w:w="3044"/>
        <w:gridCol w:w="2977"/>
      </w:tblGrid>
      <w:tr>
        <w:tc>
          <w:tcPr>
            <w:tcW w:w="696" w:type="dxa"/>
            <w:vMerge w:val="restart"/>
          </w:tcPr>
          <w:p>
            <w:pPr>
              <w:tabs>
                <w:tab w:val="left" w:pos="150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2889" w:type="dxa"/>
            <w:vMerge w:val="restart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Дошкольные образовательные организации</w:t>
            </w:r>
          </w:p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3044" w:type="dxa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Дошкольные образовательные организации</w:t>
            </w:r>
          </w:p>
        </w:tc>
        <w:tc>
          <w:tcPr>
            <w:tcW w:w="2977" w:type="dxa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Показатели установлены в соответствии Республиканскими нормативами градостроительного проектирования Чувашской Республики, утвержденными постановлением Кабинета Министров Чувашской Республики от 27 декабря 2017 года № 546</w:t>
            </w:r>
          </w:p>
        </w:tc>
      </w:tr>
      <w:tr>
        <w:tc>
          <w:tcPr>
            <w:tcW w:w="696" w:type="dxa"/>
            <w:vMerge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89" w:type="dxa"/>
            <w:vMerge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44" w:type="dxa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977" w:type="dxa"/>
          </w:tcPr>
          <w:p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установлены в соответствии с табл. 10.4 Свода правил СП 42.13330.2016 «Градостроительство.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Планировка и застройка городских и сельских поселений». Актуализированная редакция СНиП 2.07.01-89* (утв. приказом Министерства строительства и жилищно-коммунального хозяйства РФ от 30 декабря 2016 года № 1034/пр), Республиканскими нормативами градостроительного проектирования Чувашской Республики, утвержденными постановлением Кабинета Министров Чувашской Республики от 27 декабря 2017 года № 546</w:t>
            </w:r>
          </w:p>
        </w:tc>
      </w:tr>
    </w:tbl>
    <w:bookmarkEnd w:id="1"/>
    <w:p>
      <w:pPr>
        <w:pStyle w:val="a3"/>
        <w:spacing w:after="0" w:line="360" w:lineRule="auto"/>
        <w:ind w:left="0"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lastRenderedPageBreak/>
        <w:t xml:space="preserve">                                                                                                                 ».</w:t>
      </w:r>
    </w:p>
    <w:p>
      <w:pPr>
        <w:pStyle w:val="a3"/>
        <w:spacing w:after="0" w:line="360" w:lineRule="auto"/>
        <w:ind w:left="0"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2. Настоящее решение вступает в силу со дня его официального опубликования.</w:t>
      </w:r>
    </w:p>
    <w:p>
      <w:pPr>
        <w:pStyle w:val="a3"/>
        <w:spacing w:after="0" w:line="360" w:lineRule="auto"/>
        <w:ind w:left="0" w:firstLine="709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3. Контроль за исполнением настоящего постановления возложить на постоянную комиссию Чебоксарского городского Собрания депутатов по вопросам градостроительства, землеустройства и развития территории города (Павлова А.Л.).</w:t>
      </w:r>
    </w:p>
    <w:p>
      <w:pPr>
        <w:pStyle w:val="a3"/>
        <w:spacing w:after="0" w:line="360" w:lineRule="auto"/>
        <w:ind w:left="0" w:firstLine="709"/>
        <w:jc w:val="both"/>
        <w:rPr>
          <w:rFonts w:ascii="Times New Roman CYR" w:hAnsi="Times New Roman CYR"/>
          <w:sz w:val="28"/>
          <w:szCs w:val="28"/>
        </w:rPr>
      </w:pPr>
    </w:p>
    <w:p>
      <w:pPr>
        <w:pStyle w:val="a3"/>
        <w:spacing w:after="0" w:line="360" w:lineRule="auto"/>
        <w:ind w:left="0" w:firstLine="709"/>
        <w:jc w:val="both"/>
        <w:rPr>
          <w:rFonts w:ascii="Times New Roman CYR" w:hAnsi="Times New Roman CYR"/>
          <w:sz w:val="28"/>
          <w:szCs w:val="28"/>
        </w:rPr>
      </w:pPr>
    </w:p>
    <w:p>
      <w:pPr>
        <w:pStyle w:val="a3"/>
        <w:spacing w:after="0" w:line="360" w:lineRule="auto"/>
        <w:ind w:left="0"/>
        <w:jc w:val="both"/>
        <w:rPr>
          <w:rFonts w:ascii="Times New Roman CYR" w:hAnsi="Times New Roman CYR"/>
          <w:sz w:val="28"/>
          <w:szCs w:val="28"/>
        </w:rPr>
      </w:pPr>
      <w:r>
        <w:rPr>
          <w:rFonts w:ascii="Times New Roman CYR" w:hAnsi="Times New Roman CYR"/>
          <w:sz w:val="28"/>
          <w:szCs w:val="28"/>
        </w:rPr>
        <w:t>Глава города Чебоксары                                                                   Е.Н. Кадышев</w:t>
      </w:r>
    </w:p>
    <w:sectPr>
      <w:headerReference w:type="default" r:id="rId9"/>
      <w:pgSz w:w="11906" w:h="16838"/>
      <w:pgMar w:top="1134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</w:p>
  </w:endnote>
  <w:endnote w:type="continuationSeparator" w:id="0">
    <w:p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 Chv">
    <w:panose1 w:val="00000000000000000000"/>
    <w:charset w:val="00"/>
    <w:family w:val="auto"/>
    <w:pitch w:val="variable"/>
    <w:sig w:usb0="00000207" w:usb1="00000000" w:usb2="00000000" w:usb3="00000000" w:csb0="00000097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</w:p>
  </w:footnote>
  <w:footnote w:type="continuationSeparator" w:id="0">
    <w:p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300605"/>
      <w:docPartObj>
        <w:docPartGallery w:val="Page Numbers (Top of Page)"/>
        <w:docPartUnique/>
      </w:docPartObj>
    </w:sdtPr>
    <w:sdtContent>
      <w:p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9710E3"/>
    <w:multiLevelType w:val="multilevel"/>
    <w:tmpl w:val="1DC695D4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" w15:restartNumberingAfterBreak="0">
    <w:nsid w:val="32012006"/>
    <w:multiLevelType w:val="multilevel"/>
    <w:tmpl w:val="B52A9D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 w15:restartNumberingAfterBreak="0">
    <w:nsid w:val="41117946"/>
    <w:multiLevelType w:val="multilevel"/>
    <w:tmpl w:val="A35A5F0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3" w15:restartNumberingAfterBreak="0">
    <w:nsid w:val="5230525D"/>
    <w:multiLevelType w:val="multilevel"/>
    <w:tmpl w:val="1CE85398"/>
    <w:lvl w:ilvl="0">
      <w:start w:val="1"/>
      <w:numFmt w:val="decimal"/>
      <w:lvlText w:val="%1."/>
      <w:lvlJc w:val="left"/>
      <w:pPr>
        <w:ind w:left="1125" w:hanging="11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7" w:hanging="11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09" w:hanging="1125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551" w:hanging="1125"/>
      </w:pPr>
      <w:rPr>
        <w:rFonts w:hint="default"/>
      </w:rPr>
    </w:lvl>
    <w:lvl w:ilvl="4">
      <w:start w:val="2"/>
      <w:numFmt w:val="decimal"/>
      <w:lvlText w:val="%1.%2.%3.%4.%5."/>
      <w:lvlJc w:val="left"/>
      <w:pPr>
        <w:ind w:left="1693" w:hanging="112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7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C8E16D-8728-4C8E-B73F-63FB8FF12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character" w:customStyle="1" w:styleId="a4">
    <w:name w:val="Гипертекстовая ссылка"/>
    <w:basedOn w:val="a0"/>
    <w:uiPriority w:val="99"/>
    <w:rPr>
      <w:color w:val="106BBE"/>
    </w:rPr>
  </w:style>
  <w:style w:type="table" w:styleId="a5">
    <w:name w:val="Table Grid"/>
    <w:basedOn w:val="a1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</w:style>
  <w:style w:type="paragraph" w:styleId="a8">
    <w:name w:val="footer"/>
    <w:basedOn w:val="a"/>
    <w:link w:val="a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</w:style>
  <w:style w:type="paragraph" w:styleId="aa">
    <w:name w:val="Balloon Text"/>
    <w:basedOn w:val="a"/>
    <w:link w:val="a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EDF357FA3FEF52E96BAB16E8A6F4F9258E6870D029D5F3D386FD055A547734E50DBDA4FFB94C55A2714D29B14224B62D0A643116B2C6226B4749EB9ODq4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621</Words>
  <Characters>3545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Arch2</dc:creator>
  <cp:lastModifiedBy>gcheb_chgsd4</cp:lastModifiedBy>
  <cp:revision>5</cp:revision>
  <cp:lastPrinted>2023-10-30T06:01:00Z</cp:lastPrinted>
  <dcterms:created xsi:type="dcterms:W3CDTF">2023-10-27T10:21:00Z</dcterms:created>
  <dcterms:modified xsi:type="dcterms:W3CDTF">2023-10-31T12:45:00Z</dcterms:modified>
</cp:coreProperties>
</file>