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  <w:gridCol w:w="11"/>
      </w:tblGrid>
      <w:tr>
        <w:trPr>
          <w:gridAfter w:val="1"/>
          <w:trHeight w:val="415"/>
        </w:trPr>
        <w:tc>
          <w:tcPr>
            <w:tcW w:w="9345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КОНЦЕПТ ДЕЛОВОЙ ПРОГРАММЫ БИОТ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</w:t>
            </w:r>
          </w:p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  <w:trHeight w:val="378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Бизнес-ф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орум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rPr>
          <w:gridAfter w:val="1"/>
          <w:trHeight w:val="826"/>
        </w:trPr>
        <w:tc>
          <w:tcPr>
            <w:tcW w:w="93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numPr>
                <w:numId w:val="18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«Восточное партнерство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Китаем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практика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опыт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перспективы.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Российско-китайская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конференция</w:t>
            </w:r>
          </w:p>
          <w:p>
            <w:pPr>
              <w:pStyle w:val="a4"/>
              <w:numPr>
                <w:numId w:val="18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«Распаковка Индии». Особенности ведения бизнеса с индийскими партнерами.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Региональные 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взаиморасчеты и логистика. </w:t>
            </w:r>
          </w:p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Российско-индийская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конференция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18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набор востребованных иностранных работников в Российскую Федерацию. «Перезагрузка»</w:t>
            </w:r>
          </w:p>
          <w:p>
            <w:pPr>
              <w:pStyle w:val="a4"/>
              <w:numPr>
                <w:numId w:val="18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маркетплейсами. Как стать поставщиком. Как прогнозировать выручку.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18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Практика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аркировк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рекламы </w:t>
            </w:r>
          </w:p>
          <w:p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  <w:trHeight w:val="262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Безопасные условия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труда. Обучение</w:t>
            </w: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a4"/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Опыт региона в охране труда и занятости населения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Уполномоченные по охране труда – модная тенденция или эффективный инструмент?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Обмен практиками работы уполномоченных 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ключевых правил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пыт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сервисы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охране труда и 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ифровы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инструмент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снижени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травматизма.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Тест-драйв и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рактика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Цифровизация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охраны труда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Тренды, новинки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Успешные кейсы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Практический опыт внедрения искусственного интеллекта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(ИИ)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предприятиях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безопасности сотрудников на рабочем месте с помощью ИИ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Интеракт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ивные формы обучения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рабочий инструмент специалистов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охране труда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современная практика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расследовании происшествий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несчастных случаев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по новым требованиям, как возможность изменения качественного уровня подготовки специалистов 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Несчастный случай на производстве: типичные ошибки работодателей, как избежать негативных последствий.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Уголовно-правовые риски и способы предотвращения.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Юридическая консультация</w:t>
            </w:r>
          </w:p>
          <w:p>
            <w:pPr>
              <w:pStyle w:val="a4"/>
              <w:numPr>
                <w:numId w:val="1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Лучшие практики специалистов по охране труда от победителей и номинантов конкурса «Эффективные СОТы»</w:t>
            </w:r>
          </w:p>
          <w:p>
            <w:pPr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Совещания и съезды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представителей РТК</w:t>
            </w: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a4"/>
              <w:ind w:left="14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numPr>
                <w:numId w:val="17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РЖД, Русал,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Ростех,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ЭРА России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НОСТРОЙ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другие работодатели</w:t>
            </w:r>
          </w:p>
          <w:p>
            <w:pPr>
              <w:pStyle w:val="a4"/>
              <w:numPr>
                <w:numId w:val="20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инспектора ФНПР</w:t>
            </w:r>
          </w:p>
          <w:p>
            <w:pPr>
              <w:pStyle w:val="a4"/>
              <w:numPr>
                <w:numId w:val="17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Всероссийское общество специалистов по Охране труда</w:t>
            </w:r>
          </w:p>
          <w:p>
            <w:pPr>
              <w:pStyle w:val="a4"/>
              <w:numPr>
                <w:numId w:val="20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онд России</w:t>
            </w:r>
          </w:p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Сертификация и контроль качества продукции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услуг</w:t>
            </w:r>
          </w:p>
          <w:p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numPr>
                <w:numId w:val="20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Сертификация специалистов по ОТ и ПБ, как инструмент развития культуры безопасного труда </w:t>
            </w:r>
          </w:p>
          <w:p>
            <w:pPr>
              <w:pStyle w:val="a4"/>
              <w:numPr>
                <w:numId w:val="20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и место стандартов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труда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создании безопасных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20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изменения ждут рынок сертификации. Нюансы и правила</w:t>
            </w:r>
          </w:p>
          <w:p>
            <w:pPr>
              <w:pStyle w:val="a4"/>
              <w:numPr>
                <w:numId w:val="20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Международные стандарты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ISO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Вызовы и возможности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Управление рисками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a4"/>
              <w:numPr>
                <w:numId w:val="21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рисками.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кейсы. Лучшие практики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21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Расследование, оформление и учет несчастных случаев на производстве</w:t>
            </w:r>
          </w:p>
          <w:p>
            <w:pPr>
              <w:pStyle w:val="a4"/>
              <w:numPr>
                <w:numId w:val="21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Цифровые продукты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оценки рисков. Автоматизированные системы управления промышленной безопасностью и охраной труда</w:t>
            </w:r>
          </w:p>
          <w:p>
            <w:pPr>
              <w:pStyle w:val="a4"/>
              <w:numPr>
                <w:numId w:val="21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профессиональных рисков на рабочих местах как главный инструмент внедрения культуры безопасности</w:t>
            </w:r>
          </w:p>
          <w:p>
            <w:pPr>
              <w:pStyle w:val="a4"/>
              <w:numPr>
                <w:numId w:val="21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Система управления производственной безопасностью при работе с подрядными организациями</w:t>
            </w:r>
          </w:p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Обеспечение безопасн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ых условий труда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Переход на ЕТН. Возможные проблемы и пути решения.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подбора ДСИЗ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смывающих средств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Классы защиты и эксплуатационные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уровни СИЗ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Практика внедрения ЕТН на предприятиях. Кейсы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сроков годности и эксплуатации спецодежды при переходе на ЕТН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работников качественными СИЗ. Пути развития процесса в компани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ях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использованию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СИЗ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Автоматизация подбора СИЗ. Система подбора СИЗ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SIZCONSULT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То, что Вы не знали о СИЗ.  Кейсы экспонентов БИОТ.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Новинки в продуктовой линейке средств защиты, а также материалов и оборудования для их производства </w:t>
            </w:r>
          </w:p>
          <w:p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Производственная медицина. Охрана здоровья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работников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Автоматизация и 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ифров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охране здоровья и медицине труда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как элемент сохранения ресурсного состояния сотрудника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Первая помощь в охране труда, последние изменения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ерспективы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углубленных медицинских осмотров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предрейсовых осмотров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Психологическая безопасность сотрудников. Методики оценки психологического состояния коллектив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рограммы по психологической устойчивости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сотрудников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Корпоративные программы укрепления здоровья.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Практики здоровья, улучшения условий труда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Лучшие практики укрепления здоровья и благополучия персонала.</w:t>
            </w: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Вектор для предприятий – 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долголетия работников 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ind w:left="72" w:right="-120"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Безопасные условия труда, как инструмент сохранения и сбережения кадрового потенциала.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Как привлечь и сохранить трудовые ресурсы.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HR-бренд и культура безопасности.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бренда и инструменты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Сильный бренд – как инструмент привлечения кадрового потенциала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Реальность и перспектива.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Прогноз ситуации на рынке труда</w:t>
            </w: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Новые возможности рекрутинговых платформ по подбору персонала</w:t>
            </w: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организационными изменениями: модели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подходы</w:t>
            </w: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Рабочее место будущего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езопасность превыше всего.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Методы и инструменты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персонала.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Нестандартные подходы.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Кейсы предприятий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-практик – лучшие рабочие инструменты от ТОП-ко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паний</w:t>
            </w: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Лидерство и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ультура безопасно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труда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производстве в условиях изменения законодательства. Внедрение риск-ориентированного подхода. Разбор кейсов крупнейших работодателей</w:t>
            </w: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Роль уполномоченного по охране труда в развитии культуры безопасности</w:t>
            </w:r>
          </w:p>
          <w:p>
            <w:pPr>
              <w:pStyle w:val="a4"/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условий и охраны труда</w:t>
            </w:r>
          </w:p>
          <w:p>
            <w:pPr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Эмоциональная безопасность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счастье сотрудников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эффективностью. Новые реалии и задачи</w:t>
            </w:r>
          </w:p>
          <w:p>
            <w:pPr>
              <w:numPr>
                <w:numId w:val="29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Человекоцентричность и клиентоцентричность. Интересы и потребности каждого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сотрудника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центре внимания</w:t>
            </w:r>
          </w:p>
          <w:p>
            <w:pPr>
              <w:ind w:left="993" w:right="-992" w:hanging="99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Аналитика и прогнозы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СИЗ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Новинки и тенденции.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перспективы.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Прогнозы экспертов.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Рейтинги и аналитика </w:t>
            </w:r>
          </w:p>
          <w:p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Контрольно-надзорная деятельность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c>
          <w:tcPr>
            <w:tcW w:w="9345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numPr>
                <w:numId w:val="33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Расследование, оформление и учет несчастных случаев на производстве. Практическая реализация и особенности расследования</w:t>
            </w:r>
          </w:p>
          <w:p>
            <w:pPr>
              <w:pStyle w:val="a4"/>
              <w:numPr>
                <w:numId w:val="33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Совершенствование профсоюзного контроля в условиях</w:t>
            </w:r>
          </w:p>
          <w:p>
            <w:pPr>
              <w:pStyle w:val="a4"/>
              <w:numPr>
                <w:numId w:val="33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правильно провести самообследование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numPr>
                <w:numId w:val="33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контрольно-надзорной деятельности 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 Предварительные итоги </w:t>
            </w:r>
          </w:p>
          <w:p>
            <w:pPr>
              <w:pStyle w:val="a4"/>
              <w:numPr>
                <w:numId w:val="33"/>
                <w:ilvl w:val="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статистика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условий и охраны труда </w:t>
            </w:r>
          </w:p>
          <w:p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4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Курс на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ESG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устойчивое развитие в тренде?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gridAfter w:val="1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45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a4"/>
              <w:numPr>
                <w:numId w:val="34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изменилась ESG – повестка в условиях новой реальности. </w:t>
            </w:r>
          </w:p>
        </w:tc>
      </w:tr>
      <w:tr>
        <w:trPr>
          <w:gridAfter w:val="1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a4"/>
              <w:numPr>
                <w:numId w:val="34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ESG – повестка в производственных процессах</w:t>
            </w:r>
          </w:p>
        </w:tc>
      </w:tr>
      <w:tr>
        <w:trPr>
          <w:gridAfter w:val="1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a4"/>
              <w:numPr>
                <w:numId w:val="34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ESG и устойчивое развитие как основа бизнес-модели</w:t>
            </w:r>
          </w:p>
        </w:tc>
      </w:tr>
      <w:tr>
        <w:trPr>
          <w:gridAfter w:val="1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Молодежная программа БИОТ-202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Партнерские мероприятия АСИЗ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V Всероссийские соревнования по спасению и оказанию первой помощи</w:t>
            </w: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Флешмоб. Массовое обучение сердечно-легочной реанимации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Цифровая олимпиада по охране труда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Шоу-мероприятие «Показ моделей спецодежды «Елка безопасности»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Зона инноваций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Зона интервью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Церемония награждения победителей конкурсов 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Интерактивная викторина «Знаю все о СИЗ»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Мастер-классы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Экспо-туры по выставке БИОТ 2024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Стендап. Сюжет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из жизни специалиста ОТ и не только!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75149616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BF8AA9FE">
      <w:start w:val="1"/>
      <w:numFmt w:val="bullet"/>
      <w:lvlText w:val="•"/>
      <w:lvlJc w:val="left"/>
      <w:pPr>
        <w:tabs>
          <w:tab w:val="num" w:pos="-1770"/>
        </w:tabs>
        <w:ind w:left="-1770" w:hanging="360"/>
      </w:pPr>
      <w:rPr>
        <w:rFonts w:hint="default" w:ascii="Arial" w:hAnsi="Arial"/>
      </w:rPr>
    </w:lvl>
    <w:lvl w:ilvl="1" w:tentative="1" w:tplc="04190003">
      <w:start w:val="1"/>
      <w:numFmt w:val="bullet"/>
      <w:lvlText w:val="o"/>
      <w:lvlJc w:val="left"/>
      <w:pPr>
        <w:ind w:left="-105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-33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9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111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183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255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327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399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7E42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A4FCD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entative="1" w:tplc="24C85C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entative="1" w:tplc="179C31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entative="1" w:tplc="620A86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entative="1" w:tplc="05340A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entative="1" w:tplc="3996B2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entative="1" w:tplc="4F7A53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entative="1" w:tplc="3B1CE9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DC763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0186C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entative="1" w:tplc="FE7465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entative="1" w:tplc="31A4CC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entative="1" w:tplc="1E420A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entative="1" w:tplc="6D640C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entative="1" w:tplc="B60EED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entative="1" w:tplc="C5EC81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entative="1" w:tplc="55FC0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>
    <w:multiLevelType w:val="hybridMultilevel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1700B8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entative="1" w:tplc="CC4E48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entative="1" w:tplc="B5701E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entative="1" w:tplc="DE3428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entative="1" w:tplc="E6585E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entative="1" w:tplc="8B0600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entative="1" w:tplc="6F966C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entative="1" w:tplc="A5CC23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>
    <w:multiLevelType w:val="hybridMultilevel"/>
    <w:lvl w:ilvl="0" w:tplc="8A7E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C26E6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entative="1" w:tplc="192E41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entative="1" w:tplc="1B829F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entative="1" w:tplc="DFBE1A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entative="1" w:tplc="6FA2F1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entative="1" w:tplc="3C3E83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entative="1" w:tplc="B45258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entative="1" w:tplc="0FD013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 w:tplc="04190003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entative="1" w:tplc="E61436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entative="1" w:tplc="2E8E47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entative="1" w:tplc="9A60C8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entative="1" w:tplc="7D4433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entative="1" w:tplc="6CC683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entative="1" w:tplc="7C1E28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entative="1" w:tplc="6A14F9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entative="1" w:tplc="EA6CBF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 w:tplc="92E4C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1F24F5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entative="1" w:tplc="45564D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entative="1" w:tplc="1486A2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entative="1" w:tplc="A956DB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entative="1" w:tplc="5DACF0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entative="1" w:tplc="4CA6CD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entative="1" w:tplc="C406A3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entative="1" w:tplc="4E84AD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>
    <w:multiLevelType w:val="hybridMultilevel"/>
    <w:lvl w:ilvl="0" w:tplc="4D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D122AB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entative="1" w:tplc="03ECC4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entative="1" w:tplc="C0F2A7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entative="1" w:tplc="8A0680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entative="1" w:tplc="EA9CF2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entative="1" w:tplc="41AA7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entative="1" w:tplc="FA682B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entative="1" w:tplc="8856B3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8">
    <w:multiLevelType w:val="hybridMultilevel"/>
    <w:lvl w:ilvl="0" w:tplc="A0767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entative="1" w:tplc="9BA6A7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entative="1" w:tplc="A6A457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entative="1" w:tplc="B13A6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entative="1" w:tplc="2BA817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entative="1" w:tplc="060091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entative="1" w:tplc="067AB0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entative="1" w:tplc="418E53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entative="1" w:tplc="96166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>
    <w:multiLevelType w:val="hybridMultilevel"/>
    <w:lvl w:ilvl="0" w:tplc="0419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 w:tplc="041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entative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26"/>
  </w:num>
  <w:num w:numId="3">
    <w:abstractNumId w:val="19"/>
  </w:num>
  <w:num w:numId="4">
    <w:abstractNumId w:val="18"/>
  </w:num>
  <w:num w:numId="5">
    <w:abstractNumId w:val="28"/>
  </w:num>
  <w:num w:numId="6">
    <w:abstractNumId w:val="27"/>
  </w:num>
  <w:num w:numId="7">
    <w:abstractNumId w:val="10"/>
  </w:num>
  <w:num w:numId="8">
    <w:abstractNumId w:val="23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  <w:num w:numId="14">
    <w:abstractNumId w:val="31"/>
  </w:num>
  <w:num w:numId="15">
    <w:abstractNumId w:val="32"/>
  </w:num>
  <w:num w:numId="16">
    <w:abstractNumId w:val="22"/>
  </w:num>
  <w:num w:numId="17">
    <w:abstractNumId w:val="30"/>
  </w:num>
  <w:num w:numId="18">
    <w:abstractNumId w:val="16"/>
  </w:num>
  <w:num w:numId="19">
    <w:abstractNumId w:val="2"/>
  </w:num>
  <w:num w:numId="20">
    <w:abstractNumId w:val="25"/>
  </w:num>
  <w:num w:numId="21">
    <w:abstractNumId w:val="6"/>
  </w:num>
  <w:num w:numId="22">
    <w:abstractNumId w:val="8"/>
  </w:num>
  <w:num w:numId="23">
    <w:abstractNumId w:val="14"/>
  </w:num>
  <w:num w:numId="24">
    <w:abstractNumId w:val="33"/>
  </w:num>
  <w:num w:numId="25">
    <w:abstractNumId w:val="17"/>
  </w:num>
  <w:num w:numId="26">
    <w:abstractNumId w:val="5"/>
  </w:num>
  <w:num w:numId="27">
    <w:abstractNumId w:val="9"/>
  </w:num>
  <w:num w:numId="28">
    <w:abstractNumId w:val="29"/>
  </w:num>
  <w:num w:numId="29">
    <w:abstractNumId w:val="0"/>
  </w:num>
  <w:num w:numId="30">
    <w:abstractNumId w:val="15"/>
  </w:num>
  <w:num w:numId="31">
    <w:abstractNumId w:val="21"/>
  </w:num>
  <w:num w:numId="32">
    <w:abstractNumId w:val="24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50" w:customStyle="1">
    <w:name w:val="Заголовок 5 Знак"/>
    <w:basedOn w:val="a0"/>
    <w:link w:val="5"/>
    <w:uiPriority w:val="9"/>
    <w:semiHidden/>
    <w:rPr>
      <w:rFonts w:asciiTheme="majorHAnsi" w:hAnsiTheme="majorHAnsi" w:eastAsiaTheme="majorEastAsia" w:cstheme="majorBidi"/>
      <w:color w:val="2f5496" w:themeColor="accent1" w:themeShade="BF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haracters>5522</Characters>
  <CharactersWithSpaces>6478</CharactersWithSpaces>
  <Company/>
  <DocSecurity>0</DocSecurity>
  <HyperlinksChanged>false</HyperlinksChanged>
  <Lines>46</Lines>
  <LinksUpToDate>false</LinksUpToDate>
  <Pages>5</Pages>
  <Paragraphs>12</Paragraphs>
  <ScaleCrop>false</ScaleCrop>
  <SharedDoc>false</SharedDoc>
  <Template>Normal.dotm</Template>
  <TotalTime>25</TotalTime>
  <Words>968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Ассоциация СИЗ</cp:lastModifiedBy>
  <cp:revision>9</cp:revision>
  <cp:lastPrinted>2024-08-26T09:04:00Z</cp:lastPrinted>
  <dcterms:created xsi:type="dcterms:W3CDTF">2024-09-02T12:46:00Z</dcterms:created>
  <dcterms:modified xsi:type="dcterms:W3CDTF">2024-09-11T11:57:00Z</dcterms:modified>
</cp:coreProperties>
</file>