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884" w:rsidRDefault="00BB331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ДОКЛАД</w:t>
      </w:r>
    </w:p>
    <w:p w:rsidR="002F4884" w:rsidRDefault="00BB3315">
      <w:pPr>
        <w:spacing w:after="0" w:line="240" w:lineRule="auto"/>
        <w:ind w:firstLine="284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«О ходе реализации на территории Чувашской Республики Всероссийского физкультурно-спортивного комплекса ГТО»</w:t>
      </w:r>
    </w:p>
    <w:p w:rsidR="002F4884" w:rsidRDefault="002F48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F4884">
        <w:tc>
          <w:tcPr>
            <w:tcW w:w="9355" w:type="dxa"/>
          </w:tcPr>
          <w:p w:rsidR="002F4884" w:rsidRDefault="00BB33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 w:rsidR="002F4884">
        <w:tc>
          <w:tcPr>
            <w:tcW w:w="9355" w:type="dxa"/>
          </w:tcPr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1. </w:t>
            </w:r>
            <w:r>
              <w:rPr>
                <w:rFonts w:ascii="Arial" w:hAnsi="Arial" w:cs="Arial"/>
                <w:sz w:val="24"/>
                <w:szCs w:val="24"/>
              </w:rPr>
              <w:t xml:space="preserve">Добрый день уважаемые участники сегодняшней встречи. </w: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2. </w:t>
            </w:r>
            <w:r>
              <w:rPr>
                <w:rFonts w:ascii="Arial" w:hAnsi="Arial" w:cs="Arial"/>
                <w:sz w:val="24"/>
                <w:szCs w:val="24"/>
              </w:rPr>
              <w:t>Комплекс ГТО, который был возрожден по инициативе Президента Российской Федерации Владимира Владимировича Путина в марте 2014 года, является одним из действенных механизмов по вовлечению населения всех возрастных групп к систематическим занятиям физической культурой и спортом.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Всего за 11 лет к комплексу ГТО присоединились более 460 тысяч жителей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Чувашии – это более 39 процентов от общей численности населения в возрасте от 6 лет, проживающих на территории республики. Свыше 200 тысяч человек выполнили нормативы на знаки отличия, большая часть из которых — это школьники и студенты.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1 января 2025 года произошли существенные изменения в организационной структуре ГТО: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полномочия федерального оператора с этого года переданы Федеральной дирекции организации и проведения спортивных и физкультурных мероприятий – подведомственному учреждению Минспорта России;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вся работа по реализации комплекса ГТО переведена в Государственную информационную систему «Спорт», которая является официальной информационной системой российской спортивной отрасли. 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Основным инструментом оценки эффективности работы регионов является всероссийский рейтинг реализации Всероссийского физкультурно-спортивного комплекса «Готов к труду и обороне».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 всероссийском рейтинге  за 2025 год Чувашская Республика занимает третье место среди всех регионов Российской Федерации и первое место среди регионов Приволжского федерального округа. </w: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3. </w:t>
            </w:r>
            <w:r>
              <w:rPr>
                <w:rFonts w:ascii="Arial" w:hAnsi="Arial" w:cs="Arial"/>
                <w:sz w:val="24"/>
                <w:szCs w:val="24"/>
              </w:rPr>
              <w:t>Согласно данным на 31 декабря 2025 г. в ГИС «Спорт» верифицировались (зарегистрировали и подтвердили старые УИН) 130 734 жителя Чувашской Республики, 85 584 человека приступили к выполнению нормативов в Центрах тестирования.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Лидерами по выполнению критерия «Количество зарегистрированных пользователей» за 2025 год являются: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Комсомольский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муниципальные округа, г. Чебоксары,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Шемуршинский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Ядринский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муниципальные округа, к отстающим муниципалитетам относятся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Красночетайский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Моргаушский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Урмарский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Мариинско-Посадский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Цивильский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муниципальные округа.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4. </w:t>
            </w:r>
            <w:r>
              <w:rPr>
                <w:rFonts w:ascii="Arial" w:hAnsi="Arial" w:cs="Arial"/>
                <w:sz w:val="24"/>
                <w:szCs w:val="24"/>
              </w:rPr>
              <w:t>По исполнению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второго основного критерия всероссийского рейтинга - «Количество участников, принявших участие в выполнении испытаний комплекса ГТО», за 2025 год лидерами являются: Комсомольский,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Ядринский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муниципальные округа, г. Чебоксары,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Янтиковский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Батыревский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муниципальные округа,  к отстающим муниципалитетам относятся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Моргаушский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Урмарский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Цивильский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Аликовский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Алатырский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муниципальные округа.</w:t>
            </w: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Слайд 5.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У всех муниципальных округов, которые занимают последние позиции рейтинга, есть один общий показатель – в указанных муниципалитетах реализацией комплекса ГТО либо вообще отсутствуют специалисты в центрах тестирования, либо специалиста, который работает по основному месту работы в другом месте, в порядке совмещения назначают на 0,5 ставки специалиста центра тестирования, либо на весь муниципальный округ выделена 1 ставка.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 Как следствие, отсутствие системной работы на постоянной основе закономерно приводит к отрицательному результату. Главам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муниципалетов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>, указанных на слайдах, необходимо ввести ставки, принять на работу специалистов и организовать должным образом работу по реализации для ваших жителей комплекса ГТО.</w:t>
            </w: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2F4884" w:rsidRDefault="00BB33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6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6. </w:t>
            </w:r>
            <w:r>
              <w:rPr>
                <w:rFonts w:ascii="Arial" w:hAnsi="Arial" w:cs="Arial"/>
                <w:sz w:val="24"/>
                <w:szCs w:val="24"/>
              </w:rPr>
              <w:t xml:space="preserve">Одним из эффективных механизмов популяризации комплекса ГТО является проведение фестивалей Всероссийского физкультурно-спортивного комплекса ГТО, которые включают в себя не только спортивную составляющую – непосредственное выполнение норм ГТО, но и способствуют повышению уровня знаний населения о комплексе ГТО, способах и методах ведения здорового образа жизни. В 2025 году было проведено 1 всероссийский и 5 республиканских фестивалей: среди трудовых коллективов, среди спортивных федераций, среди обучающихся образовательных организаций высшего образования, среди исполнительных органов, среди средств массовой информации, а также Всероссийский этап фестиваля среди семейных команд. </w: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7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7. </w:t>
            </w:r>
            <w:r>
              <w:rPr>
                <w:rFonts w:ascii="Arial" w:hAnsi="Arial" w:cs="Arial"/>
                <w:sz w:val="24"/>
                <w:szCs w:val="24"/>
              </w:rPr>
              <w:t>Дополнительным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механизмом вовлечения детей в выполнение нормативов ГТО является прохождение тестирования на аппаратно-программном комплексе «Стань чемпионом». По результатам оценки физических данных ребенка в заключени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комплексного тестирования в отдельном разделе указывается, какой  знак ГТО может получить ребенок прямо сейчас при имеющемся уровне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физподготовки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872185" cy="3298196"/>
                      <wp:effectExtent l="0" t="0" r="0" b="0"/>
                      <wp:docPr id="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935822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872185" cy="3298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462.38pt;height:259.70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2F4884" w:rsidRDefault="00BB3315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Слайд 8.</w:t>
            </w:r>
            <w:r>
              <w:rPr>
                <w:rFonts w:ascii="Arial" w:hAnsi="Arial" w:cs="Arial"/>
                <w:sz w:val="24"/>
                <w:szCs w:val="24"/>
              </w:rPr>
              <w:t xml:space="preserve"> Всем муниципалитетам Минспортом Чувашии были доведены плановые показатели на этот год по проведению тестирования детей, проживающих в ваших муниципалитетах, на аппаратно-программном комплексе «Стань Чемпионом».</w:t>
            </w:r>
          </w:p>
          <w:p w:rsidR="002F4884" w:rsidRDefault="00BB3315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Фактическое выполнение за 2 с половиной месяца приведено на слайде. Необходимо обеспечить выполнение доведенных цифр, за каждой цифрой может стоять будущий олимпийский чемпион, который благодаря вовремя проведенному тестированию, займется тем видом спорта, к которому у него талант от природы.</w:t>
            </w:r>
          </w:p>
          <w:p w:rsidR="002F4884" w:rsidRDefault="002F4884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9" name="Рисунок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Слад 9.</w:t>
            </w:r>
            <w:r>
              <w:rPr>
                <w:rFonts w:ascii="Arial" w:hAnsi="Arial" w:cs="Arial"/>
                <w:sz w:val="24"/>
                <w:szCs w:val="24"/>
              </w:rPr>
              <w:t xml:space="preserve"> Внедрение комплекса ГТО проходит во всех 23 муниципальных образованиях, где функционируют 31 центр тестирования. В 2025 году открылись 3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новых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центра тестирования на территории города Чебоксары на базе АУ ДО "СШ им. В.С. Соколова"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АУ ДО "СШ №1", МБУ ДО "СШ по баскетболу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им.В.И.Грекова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рамках реализации федерального проекта «Спорт России» были созданы и оборудованы современными спортивными сооружениями                               23 специализированные площадки ГТО. Эти площадки предоставляют широкие возможности для занятий спортом и поддержания физической формы жителями региона вне зависимости от погодных условий и сезона. 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2025 году открылись еще пять современных площадок ГТО на территории общеобразовательных учреждений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Аликовского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Комсомольского,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Красночетайского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Порецкого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муниципальных округов Чувашской Республики.  В последующие годы, начиная с 2026 и заканчивая 2028 годом, планируется создать дополнительно 16 площадок ГТО, из которых 6 в этом году. </w:t>
            </w:r>
            <w:r w:rsidR="00FB632F" w:rsidRPr="00FB632F">
              <w:rPr>
                <w:rFonts w:ascii="Arial" w:hAnsi="Arial" w:cs="Arial"/>
                <w:sz w:val="24"/>
                <w:szCs w:val="24"/>
                <w:highlight w:val="yellow"/>
              </w:rPr>
              <w:t>Последний день приема заявок Минспортом сегодня до 17.00 18 марта</w:t>
            </w:r>
            <w:r w:rsidRPr="00FB632F">
              <w:rPr>
                <w:rFonts w:ascii="Arial" w:hAnsi="Arial" w:cs="Arial"/>
                <w:sz w:val="24"/>
                <w:szCs w:val="24"/>
                <w:highlight w:val="yellow"/>
              </w:rPr>
              <w:t>.</w:t>
            </w:r>
          </w:p>
          <w:p w:rsidR="002F4884" w:rsidRDefault="00BB3315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Общее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количество региональных послов комплекса ГТО на территории Чувашской Республики – 76 человек, федеральных – 2 человека (Иванова Олимпиада Владимировна, Иванова Алина Петровна).</w:t>
            </w: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10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Слайд 10. </w:t>
            </w:r>
          </w:p>
          <w:p w:rsidR="002F4884" w:rsidRDefault="00BB3315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Проведение фестивалей ГТО, спортивных соревнований и иных массовых спортивных мероприятий – все это механизмы популяризации среди наших жителей комплекса ГТО. </w:t>
            </w:r>
          </w:p>
          <w:p w:rsidR="002F4884" w:rsidRDefault="00BB3315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 без установления измеримых количественных показателей, декомпозированных на учреждения и предприятия, работающие на территории конкретного муниципалитета, организации качественной работы не получится.</w:t>
            </w:r>
          </w:p>
        </w:tc>
      </w:tr>
      <w:tr w:rsidR="002F4884">
        <w:tc>
          <w:tcPr>
            <w:tcW w:w="9355" w:type="dxa"/>
          </w:tcPr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4884">
        <w:tc>
          <w:tcPr>
            <w:tcW w:w="9355" w:type="dxa"/>
          </w:tcPr>
          <w:p w:rsidR="002F4884" w:rsidRDefault="002F4884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  <w:highlight w:val="green"/>
              </w:rPr>
            </w:pPr>
          </w:p>
          <w:p w:rsidR="002F4884" w:rsidRDefault="002F4884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  <w:highlight w:val="green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862660" cy="3304803"/>
                      <wp:effectExtent l="0" t="0" r="0" b="0"/>
                      <wp:docPr id="11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846100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862659" cy="33048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461.63pt;height:260.22pt;mso-wrap-distance-left:0.00pt;mso-wrap-distance-top:0.00pt;mso-wrap-distance-right:0.00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</w:p>
          <w:p w:rsidR="002F4884" w:rsidRDefault="002F4884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  <w:b/>
              </w:rPr>
            </w:pPr>
          </w:p>
          <w:p w:rsidR="002F4884" w:rsidRDefault="00BB3315">
            <w:pPr>
              <w:pStyle w:val="ConsPlusNormal"/>
              <w:widowControl/>
              <w:ind w:firstLine="709"/>
              <w:jc w:val="both"/>
              <w:rPr>
                <w:rFonts w:ascii="Arial" w:eastAsia="PT Astra Serif" w:hAnsi="Arial" w:cs="Arial"/>
              </w:rPr>
            </w:pPr>
            <w:r>
              <w:rPr>
                <w:rFonts w:ascii="Arial" w:hAnsi="Arial" w:cs="Arial"/>
                <w:b/>
              </w:rPr>
              <w:t xml:space="preserve">Слайд 11. </w:t>
            </w:r>
            <w:r>
              <w:rPr>
                <w:rFonts w:ascii="Arial" w:hAnsi="Arial" w:cs="Arial"/>
              </w:rPr>
              <w:t>В рамках реализации на территории Чувашской Республики Всероссийского физкультурно-спортивного комплекса ГТО</w:t>
            </w:r>
            <w:r>
              <w:rPr>
                <w:rFonts w:ascii="Arial" w:eastAsia="PT Astra Serif" w:hAnsi="Arial" w:cs="Arial"/>
              </w:rPr>
              <w:t xml:space="preserve"> </w:t>
            </w:r>
            <w:bookmarkStart w:id="1" w:name="_Hlk209786048"/>
            <w:r>
              <w:rPr>
                <w:rFonts w:ascii="Arial" w:hAnsi="Arial" w:cs="Arial"/>
              </w:rPr>
              <w:t xml:space="preserve">в адрес </w:t>
            </w:r>
            <w:r>
              <w:rPr>
                <w:rFonts w:ascii="Arial" w:eastAsia="PT Astra Serif" w:hAnsi="Arial" w:cs="Arial"/>
              </w:rPr>
              <w:t xml:space="preserve">муниципальных центров тестирования </w:t>
            </w:r>
            <w:bookmarkEnd w:id="1"/>
            <w:r>
              <w:rPr>
                <w:rFonts w:ascii="Arial" w:eastAsia="PT Astra Serif" w:hAnsi="Arial" w:cs="Arial"/>
              </w:rPr>
              <w:t>Минспортом направлены плановые показатели на 2026 год.</w:t>
            </w:r>
          </w:p>
          <w:p w:rsidR="002F4884" w:rsidRDefault="00BB3315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Плановые показатели были установлены по трем основным критериям: «Количество зарегистрированных пользователей» (всего- 115 320 человек); «Количество участников, принявших участие в выполнении испытаний комплекса ГТО» (всего - 144 150 человек); «Количество публикаций в СМИ» (всего- 17 390 публикаций). </w:t>
            </w:r>
          </w:p>
          <w:p w:rsidR="002F4884" w:rsidRDefault="00BB3315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Прошу ответственных лиц отнестись к выполнению данных показателей серьезно – за этим стоит здоровье и активный образ жизни наших жителей.</w:t>
            </w: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Также напоминаю, что с 1 января 2025 года выполнение комплекса «Готов к труду и обороне» дает право на получение налогового вычета. Размер вычета составляет 18 000 руб. в год. Это не прямой возврат денег за ГТО, а возможность уменьшить налогооблагаемый доход. То есть эта сумма заработной платы не будет подлежать налогообложению НДФЛ.</w:t>
            </w: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Вычет предоставляется тем гражданам, которые впервые награждены знаком отличия ГТО, или повторно сдали нормативы и подтвердили полученный ранее знак.</w:t>
            </w:r>
          </w:p>
          <w:p w:rsidR="002F4884" w:rsidRDefault="00BB3315">
            <w:pPr>
              <w:spacing w:after="0" w:line="240" w:lineRule="auto"/>
              <w:ind w:firstLine="743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этом одним из важных условий является, чтобы в год выполнения комплекса ГТО была пройдена диспансеризация. А вот возрастная ступень и уровень сложности (золотой, серебряный или бронзовый знаки отличия) значения не имеют.</w:t>
            </w:r>
          </w:p>
          <w:p w:rsidR="002F4884" w:rsidRDefault="002F4884">
            <w:pPr>
              <w:pStyle w:val="ConsPlusNormal"/>
              <w:widowControl/>
              <w:ind w:firstLine="709"/>
              <w:jc w:val="both"/>
              <w:rPr>
                <w:rFonts w:ascii="Arial" w:hAnsi="Arial" w:cs="Arial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ind w:firstLine="74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BB331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940425" cy="3341370"/>
                      <wp:effectExtent l="0" t="0" r="3175" b="0"/>
                      <wp:docPr id="12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Рисунок 1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5" cy="33413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467.75pt;height:263.10pt;mso-wrap-distance-left:0.00pt;mso-wrap-distance-top:0.00pt;mso-wrap-distance-right:0.00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4884" w:rsidRDefault="002F488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F4884" w:rsidRDefault="002F4884">
      <w:pPr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2F4884" w:rsidRDefault="00BB3315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Спасибо за внимание!</w:t>
      </w:r>
    </w:p>
    <w:p w:rsidR="002F4884" w:rsidRDefault="002F488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2F4884">
      <w:head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08B" w:rsidRDefault="0052108B">
      <w:pPr>
        <w:spacing w:line="240" w:lineRule="auto"/>
      </w:pPr>
      <w:r>
        <w:separator/>
      </w:r>
    </w:p>
  </w:endnote>
  <w:endnote w:type="continuationSeparator" w:id="0">
    <w:p w:rsidR="0052108B" w:rsidRDefault="00521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08B" w:rsidRDefault="0052108B">
      <w:pPr>
        <w:spacing w:after="0"/>
      </w:pPr>
      <w:r>
        <w:separator/>
      </w:r>
    </w:p>
  </w:footnote>
  <w:footnote w:type="continuationSeparator" w:id="0">
    <w:p w:rsidR="0052108B" w:rsidRDefault="005210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354025"/>
    </w:sdtPr>
    <w:sdtEndPr/>
    <w:sdtContent>
      <w:p w:rsidR="002F4884" w:rsidRDefault="00BB3315">
        <w:pPr>
          <w:pStyle w:val="af0"/>
          <w:jc w:val="cent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fldChar w:fldCharType="begin"/>
        </w:r>
        <w:r>
          <w:rPr>
            <w:rFonts w:ascii="Arial" w:hAnsi="Arial" w:cs="Arial"/>
            <w:sz w:val="24"/>
            <w:szCs w:val="24"/>
          </w:rPr>
          <w:instrText>PAGE   \* MERGEFORMAT</w:instrText>
        </w:r>
        <w:r>
          <w:rPr>
            <w:rFonts w:ascii="Arial" w:hAnsi="Arial" w:cs="Arial"/>
            <w:sz w:val="24"/>
            <w:szCs w:val="24"/>
          </w:rPr>
          <w:fldChar w:fldCharType="separate"/>
        </w:r>
        <w:r w:rsidR="00FB632F">
          <w:rPr>
            <w:rFonts w:ascii="Arial" w:hAnsi="Arial" w:cs="Arial"/>
            <w:noProof/>
            <w:sz w:val="24"/>
            <w:szCs w:val="24"/>
          </w:rPr>
          <w:t>8</w:t>
        </w:r>
        <w:r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2F4884" w:rsidRDefault="002F488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884"/>
    <w:rsid w:val="002F4884"/>
    <w:rsid w:val="00331246"/>
    <w:rsid w:val="0052108B"/>
    <w:rsid w:val="00BB3315"/>
    <w:rsid w:val="00FB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TOC Heading"/>
    <w:uiPriority w:val="39"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2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3">
    <w:name w:val="Title"/>
    <w:basedOn w:val="a"/>
    <w:next w:val="a"/>
    <w:link w:val="af4"/>
    <w:uiPriority w:val="10"/>
    <w:qFormat/>
    <w:pPr>
      <w:spacing w:before="300"/>
      <w:contextualSpacing/>
    </w:pPr>
    <w:rPr>
      <w:sz w:val="48"/>
      <w:szCs w:val="48"/>
    </w:rPr>
  </w:style>
  <w:style w:type="paragraph" w:styleId="af5">
    <w:name w:val="foot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uiPriority w:val="11"/>
    <w:qFormat/>
    <w:pPr>
      <w:spacing w:before="200"/>
    </w:pPr>
    <w:rPr>
      <w:sz w:val="24"/>
      <w:szCs w:val="24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4">
    <w:name w:val="Название Знак"/>
    <w:basedOn w:val="a0"/>
    <w:link w:val="af3"/>
    <w:uiPriority w:val="10"/>
    <w:qFormat/>
    <w:rPr>
      <w:sz w:val="48"/>
      <w:szCs w:val="48"/>
    </w:rPr>
  </w:style>
  <w:style w:type="character" w:customStyle="1" w:styleId="af9">
    <w:name w:val="Подзаголовок Знак"/>
    <w:basedOn w:val="a0"/>
    <w:link w:val="af8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fd">
    <w:name w:val="Нет"/>
  </w:style>
  <w:style w:type="character" w:customStyle="1" w:styleId="af1">
    <w:name w:val="Верхний колонтитул Знак"/>
    <w:basedOn w:val="a0"/>
    <w:link w:val="af0"/>
    <w:uiPriority w:val="99"/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TOC Heading"/>
    <w:uiPriority w:val="39"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2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3">
    <w:name w:val="Title"/>
    <w:basedOn w:val="a"/>
    <w:next w:val="a"/>
    <w:link w:val="af4"/>
    <w:uiPriority w:val="10"/>
    <w:qFormat/>
    <w:pPr>
      <w:spacing w:before="300"/>
      <w:contextualSpacing/>
    </w:pPr>
    <w:rPr>
      <w:sz w:val="48"/>
      <w:szCs w:val="48"/>
    </w:rPr>
  </w:style>
  <w:style w:type="paragraph" w:styleId="af5">
    <w:name w:val="foot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uiPriority w:val="11"/>
    <w:qFormat/>
    <w:pPr>
      <w:spacing w:before="200"/>
    </w:pPr>
    <w:rPr>
      <w:sz w:val="24"/>
      <w:szCs w:val="24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4">
    <w:name w:val="Название Знак"/>
    <w:basedOn w:val="a0"/>
    <w:link w:val="af3"/>
    <w:uiPriority w:val="10"/>
    <w:qFormat/>
    <w:rPr>
      <w:sz w:val="48"/>
      <w:szCs w:val="48"/>
    </w:rPr>
  </w:style>
  <w:style w:type="character" w:customStyle="1" w:styleId="af9">
    <w:name w:val="Подзаголовок Знак"/>
    <w:basedOn w:val="a0"/>
    <w:link w:val="af8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fd">
    <w:name w:val="Нет"/>
  </w:style>
  <w:style w:type="character" w:customStyle="1" w:styleId="af1">
    <w:name w:val="Верхний колонтитул Знак"/>
    <w:basedOn w:val="a0"/>
    <w:link w:val="af0"/>
    <w:uiPriority w:val="99"/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50.png"/><Relationship Id="rId26" Type="http://schemas.openxmlformats.org/officeDocument/2006/relationships/image" Target="media/image90.png"/><Relationship Id="rId3" Type="http://schemas.microsoft.com/office/2007/relationships/stylesWithEffects" Target="stylesWithEffect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20" Type="http://schemas.openxmlformats.org/officeDocument/2006/relationships/image" Target="media/image60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80.png"/><Relationship Id="rId32" Type="http://schemas.openxmlformats.org/officeDocument/2006/relationships/image" Target="media/image120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00.png"/><Relationship Id="rId10" Type="http://schemas.openxmlformats.org/officeDocument/2006/relationships/image" Target="media/image13.png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14" Type="http://schemas.openxmlformats.org/officeDocument/2006/relationships/image" Target="media/image30.png"/><Relationship Id="rId22" Type="http://schemas.openxmlformats.org/officeDocument/2006/relationships/image" Target="media/image70.png"/><Relationship Id="rId27" Type="http://schemas.openxmlformats.org/officeDocument/2006/relationships/image" Target="media/image10.png"/><Relationship Id="rId30" Type="http://schemas.openxmlformats.org/officeDocument/2006/relationships/image" Target="media/image110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9BE32-4189-4739-9220-F4C0313E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Рябинина</dc:creator>
  <cp:lastModifiedBy>Рябинина Татьяна Александровна</cp:lastModifiedBy>
  <cp:revision>3</cp:revision>
  <dcterms:created xsi:type="dcterms:W3CDTF">2026-03-16T06:25:00Z</dcterms:created>
  <dcterms:modified xsi:type="dcterms:W3CDTF">2026-03-16T09:06:00Z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176D8FD4371B47BA973E6C0F900E3F5F_12</vt:lpwstr>
  </property>
</Properties>
</file>