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53" w:rsidRDefault="00F6017F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eastAsia="ru-RU"/>
        </w:rPr>
        <w:t>Предварительные материалы оценки воздействия на окружающую среду лимитов и квот добычи охотничьих ресурсов на территории Чувашской Республики на период с 1 августа 2025 г. до 1 августа 2026 г.</w:t>
      </w:r>
    </w:p>
    <w:p w:rsidR="00D76553" w:rsidRDefault="00D76553">
      <w:pPr>
        <w:ind w:firstLine="540"/>
        <w:jc w:val="both"/>
        <w:rPr>
          <w:rFonts w:ascii="Times New Roman" w:hAnsi="Times New Roman"/>
          <w:b/>
          <w:sz w:val="32"/>
          <w:szCs w:val="32"/>
        </w:rPr>
      </w:pPr>
    </w:p>
    <w:p w:rsidR="00D76553" w:rsidRDefault="00F601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Общие сведения о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планируемой (намечаемой) хозяйственной и иной деятельности</w:t>
      </w:r>
    </w:p>
    <w:p w:rsidR="00D76553" w:rsidRDefault="00D765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Заказчиком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оценки воздействия на окружающую среду является Министерство природных ресурсов и экологии Чувашской Республики (далее - Минприроды Чувашии).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Юридический и почтовый адрес Минприроды Чув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ашии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428021, г. Чебоксары, ул. Ленинградская, д. 33, телефон (8352) 56-52-80, адрес электронной почты: </w:t>
      </w:r>
      <w:hyperlink r:id="rId8" w:history="1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minpriroda@cap.ru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Наименование планируемой (намечаемой) хозяйственной и иной деятельности и планируемое место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ее реализации</w:t>
      </w:r>
    </w:p>
    <w:p w:rsidR="00D76553" w:rsidRDefault="00D765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Объектом оценки воздействия на окружающую среду намечаемой хозяйственной деятельности являются проектируемые лимиты и квоты добычи охотничьих ресурсов на территории Чувашской Республики на период с 1 августа 2025 года до 1 августа 2026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и необходимость реализации намечаемой хозяйственной и иной деятельности</w:t>
      </w:r>
    </w:p>
    <w:p w:rsidR="00D76553" w:rsidRDefault="00D765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right="-19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Оценка воздействия на окружающую среду (далее - ОВОС) проводится с целью выявления характера, интенсивности, степени опасности влияния намечаемой хозяйственной деятельности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состояние окружающей среды и здоровье населения с целью принятия решения о допустимости или недопустимости реализации объекта экспертизы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76553" w:rsidRDefault="00F6017F">
      <w:pPr>
        <w:spacing w:after="0" w:line="240" w:lineRule="auto"/>
        <w:ind w:right="-1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целью реализации намечаемой хозяйственной деятельности является реализация конституционных и законных прав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раждан и юридических лиц на использование и устойчивое использование объектов животного мира (лося,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косули сибирской и барсука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достижения указанной цели при проведении ОВОС необходимо решить следующие задачи: 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выполнить оценку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вариантов достижения цели намечаемой хозяйственной и иной деятельности, включая и «нулевой вариант»;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возможные виды воздействия на окружающую среду намечаемой хозяйственной и иной деятельности по альтернативным вариантам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состояние окружаю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щей среды, которая может быть затронута намечаемой хозяйственной и иной деятельностью в результате ее реализации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оценить воздействия на окружающую среду намечаемой хозяйственной и иной деятельности по альтернативным вариантам;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предложить лимиты добычи охо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тничьих ресурсов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период с 1 августа 2025 года до 1 августа 2026 года.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Описание планируемой (намечаемой) хозяйственной и иной деятельности</w:t>
      </w:r>
    </w:p>
    <w:p w:rsidR="00D76553" w:rsidRDefault="00D7655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пользование охотничьими ресурсами регламентируется Федеральным законом от 24 апреля 1995 г. № 52-ФЗ «О животном мире» (далее - Федеральный закон «О животном мире» и Федеральным законом от 24 июля 2009 г. № 209-ФЗ «Об охоте и сохранении ох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отничьих ресурсов и о внесении изменений в отдельные законодательные акты Российской Федерации» (далее - Федеральный закон «Об охоте»). Указанные федеральные законы регулируют отношения в области охраны и использования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объектов животного мира, отнесённых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объектам охоты, а также в сфере сохранения и восстановления среды их обитания, создания условий для устойчивого существования охотничьих животных, сохранения их генофонда и иной защиты данных животных, как неотъемлемого элемента природной среды. Также фед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еральными законами предусмотрено рациональное использование охотничьих ресурсов, то есть изъятие части популяций животных, без ущерба для её воспроизводства.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6 Федерального закона «О животном мире» Российская Федерация передает 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ганам государственной власти субъектов Российской Федерации осуществление ряда полномочий в области охраны и использования объектов животного мира, в том числе установление согласованных с федеральным органом исполнительной власти, осуществляющим функции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выработке государственной политики и нормативно-правовому регулированию в сфере агропромышленного комплекса и рыболовства, объемов (лимитов) изъятия объектов животного мира, за исключением объектов животного мира, находящихся на особо охраняемых природны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территориях федерального значения.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33 Федерального закона «Об охоте» Российская Федерация передает органам государственной власти субъектов Российской Федерации полномочия по установлению в порядке, предусмотренном настоящим зак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оном, лимитов добычи охотничьих ресурсов и квот их добычи, за исключением таких лимитов и квот в отношении охотничьих ресурсов находящихся на особо охраняемых природных территориях.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20 Федерального закона «О животном мире» обязате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льной мерой охраны животного мира является государственная экологическая экспертиза,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власти субъектов Российской Федерации хозяйственного решения, способного повлиять на объекты животного мира и среду их обитания.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Обязательной государственной экологической экспертизе подлежат материалы, обосновывающие объемы (лимиты, квоты) изъятия объ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ектов животного мира и проведение работ по акклиматизации и гибридизации этих объектов.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3 статьи 24 Федерального закона «Об охоте» лимит добычи охотничьих ресурсов утверждается для каждого субъекта Российской Федерации высшим должно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стным лицом субъекта Российской Федерации (руководителем высшего исполнительного органа государственной власти субъекта Российской Федерации) в срок не позднее 1 августа текущего года на период до 1 августа следующего года.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14 Фед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ерального закона от 23 ноября 1995 г. № 174-ФЗ «Об экологической экспертизе» государственная экологическая экспертиза проводится при наличии в составе представляемых материалов, содержащих, в том числе и материалы оценки воздействия на окружающую среду в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езультате хозяйственной или иной деятельности.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обоснования лимитов изъятия использованы следующие законы и подзаконные акты: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 животном мире»;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«Об охоте»; 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природных ресурсов и экологии Российско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Федерации от 24 июля 2020 г. № 477 «Об утверждении Правил охоты»;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природных ресурсов и экологии Российской Федерации от 27 января 2022 г. № 49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№ 965»;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природных ресурсов и экологии Российской Федерации от 17 мая 2010 г. № 164 «Об утверждении Перечня видов охотничьих ресурсов, добыча которых осуществляется в соответствии с лимитами их добычи». 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представленных материалах применяются следующие термины: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мит добычи охотничьих ресурсов - объем допустимой годовой добычи охотничьих ресурсов;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квота добычи охотничьих ресурсов - часть лимита добычи охотничьих ресурсов, которая определяется в отношении каждого охотничьего угодья;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охотничьи угодья - территории,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границах которых допускается осуществление видов деятельности в сфере охотничьего хозяйства;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закрепленные охотничьи угодья - охотничьи угодья, которые используются юридическими лицами, индивидуальными предпринимателями на основаниях, предусмотренных Федера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льным законом «Об охоте»;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общедоступные охотничьи угодья - охотничьи угодья, в которых физические лица имеют право свободно пребывать в целях охоты;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Учет лося и косули сибирской проводился в 2025 году на территории Чувашской Республики (за исключением особ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охраняемых природных территорий федерального значения) был организован и проведен по Методикам учета численности охотничьих ресурсов, утвержденным приказом Федерального государственного бюджетного учреждения «Федеральный научно-исследовательский центр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звития охотничьего хозяйства» от 22 ноября 2023 № 49 (далее – Методики учета). Учет барсука проводился в осенний период 2024 года. Для учета барсука использовался имеющийся научный подход учета - подсчет особей, заселяющих норы согласно Методическому руков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одству по учету численности охотничьих животных в лесном фонде Российской Федерации (1999 г.).</w:t>
      </w:r>
    </w:p>
    <w:p w:rsidR="00D76553" w:rsidRDefault="00F6017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Методики учета размещены на официальном сайте Министерства природных ресурсов и экологии Российской Федерации в разделе «Методические документы»: https://www.mnr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.gov.ru/docs/metodicheskie_dokumenty/.</w:t>
      </w:r>
    </w:p>
    <w:p w:rsidR="00D76553" w:rsidRDefault="00F6017F">
      <w:pPr>
        <w:pStyle w:val="Default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Данные по численности охотничьих ресурсов за последние 10 лет представлены в таблице 1 и на рисунке 1.</w:t>
      </w:r>
    </w:p>
    <w:p w:rsidR="00D76553" w:rsidRDefault="00D76553">
      <w:pPr>
        <w:pStyle w:val="Default"/>
        <w:ind w:firstLine="567"/>
        <w:jc w:val="both"/>
        <w:rPr>
          <w:rFonts w:eastAsia="Times New Roman"/>
          <w:lang w:eastAsia="ru-RU"/>
        </w:rPr>
      </w:pPr>
    </w:p>
    <w:p w:rsidR="00D76553" w:rsidRDefault="00F6017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Таблица 1</w:t>
      </w:r>
    </w:p>
    <w:p w:rsidR="00D76553" w:rsidRDefault="00D76553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553" w:rsidRDefault="00F6017F">
      <w:pPr>
        <w:spacing w:after="0" w:line="240" w:lineRule="auto"/>
        <w:ind w:right="-3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Динамика численности лося, косули сибирской и барсука</w:t>
      </w:r>
    </w:p>
    <w:p w:rsidR="00D76553" w:rsidRDefault="00F6017F">
      <w:pPr>
        <w:spacing w:after="0" w:line="240" w:lineRule="auto"/>
        <w:ind w:right="-3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 территории Чувашской Республики</w:t>
      </w:r>
    </w:p>
    <w:p w:rsidR="00D76553" w:rsidRDefault="00F6017F">
      <w:pPr>
        <w:spacing w:after="0" w:line="240" w:lineRule="auto"/>
        <w:ind w:right="-3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(послепромысловая численность)</w:t>
      </w:r>
    </w:p>
    <w:p w:rsidR="00D76553" w:rsidRDefault="00D76553">
      <w:pPr>
        <w:spacing w:after="0" w:line="240" w:lineRule="auto"/>
        <w:ind w:right="-3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1289"/>
        <w:gridCol w:w="788"/>
        <w:gridCol w:w="788"/>
        <w:gridCol w:w="787"/>
        <w:gridCol w:w="789"/>
        <w:gridCol w:w="789"/>
        <w:gridCol w:w="789"/>
        <w:gridCol w:w="791"/>
        <w:gridCol w:w="791"/>
        <w:gridCol w:w="791"/>
        <w:gridCol w:w="787"/>
      </w:tblGrid>
      <w:tr w:rsidR="00D76553">
        <w:tc>
          <w:tcPr>
            <w:tcW w:w="395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646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охотничьего ресурса</w:t>
            </w:r>
          </w:p>
        </w:tc>
        <w:tc>
          <w:tcPr>
            <w:tcW w:w="3959" w:type="pct"/>
            <w:gridSpan w:val="10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по годам, голов</w:t>
            </w:r>
          </w:p>
        </w:tc>
      </w:tr>
      <w:tr w:rsidR="00D76553">
        <w:tc>
          <w:tcPr>
            <w:tcW w:w="395" w:type="pct"/>
            <w:vMerge/>
            <w:vAlign w:val="center"/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6" w:type="pct"/>
            <w:vMerge/>
            <w:vAlign w:val="center"/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</w:tr>
      <w:tr w:rsidR="00D76553"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Лось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238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0"/>
                <w:szCs w:val="20"/>
              </w:rPr>
            </w:pPr>
            <w:r>
              <w:rPr>
                <w:rFonts w:eastAsia="+mn-ea"/>
                <w:color w:val="000000"/>
                <w:sz w:val="20"/>
                <w:szCs w:val="20"/>
              </w:rPr>
              <w:t>2268</w:t>
            </w:r>
          </w:p>
        </w:tc>
      </w:tr>
      <w:tr w:rsidR="00D76553"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Косуля сибирская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1062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0"/>
                <w:szCs w:val="20"/>
              </w:rPr>
            </w:pPr>
            <w:r>
              <w:rPr>
                <w:rFonts w:eastAsia="+mn-ea"/>
                <w:color w:val="000000"/>
                <w:sz w:val="20"/>
                <w:szCs w:val="20"/>
              </w:rPr>
              <w:t>1751</w:t>
            </w:r>
          </w:p>
        </w:tc>
      </w:tr>
      <w:tr w:rsidR="00D76553">
        <w:trPr>
          <w:trHeight w:val="230"/>
        </w:trPr>
        <w:tc>
          <w:tcPr>
            <w:tcW w:w="395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6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Барсук</w:t>
            </w:r>
          </w:p>
        </w:tc>
        <w:tc>
          <w:tcPr>
            <w:tcW w:w="395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95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95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96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96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96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97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97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97" w:type="pct"/>
            <w:vMerge w:val="restar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96" w:type="pct"/>
            <w:vMerge w:val="restar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</w:tr>
    </w:tbl>
    <w:p w:rsidR="00D76553" w:rsidRDefault="00D7655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2016-2017 гг. данные представлены с учетом численности охотничьих ресурсов на особо охраняемых природных территориях федерального значения (ГПЗ «Присурский» и национальный парк «Чǎваш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рманĕ»).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D765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677084" cy="3197187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224328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rcRect l="1821" t="2409" r="1323" b="3727"/>
                        <a:stretch/>
                      </pic:blipFill>
                      <pic:spPr bwMode="auto">
                        <a:xfrm>
                          <a:off x="0" y="0"/>
                          <a:ext cx="5677084" cy="3197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7.01pt;height:2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D76553" w:rsidRDefault="00F601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14976" cy="2661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108736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rcRect l="1242" t="2188" r="1158" b="3079"/>
                        <a:stretch/>
                      </pic:blipFill>
                      <pic:spPr bwMode="auto">
                        <a:xfrm>
                          <a:off x="0" y="0"/>
                          <a:ext cx="5614976" cy="266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42.12pt;height:209.59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D76553" w:rsidRDefault="00D765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459621" cy="3575873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9151700" name="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rcRect l="1718" t="1746" r="1200" b="3190"/>
                        <a:stretch/>
                      </pic:blipFill>
                      <pic:spPr bwMode="auto">
                        <a:xfrm>
                          <a:off x="0" y="0"/>
                          <a:ext cx="5459620" cy="35758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29.89pt;height:281.56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 w:rsidR="00D76553" w:rsidRDefault="00D765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76553" w:rsidRDefault="00F6017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Рис. 1. </w:t>
      </w:r>
      <w:r>
        <w:rPr>
          <w:rFonts w:ascii="Times New Roman" w:hAnsi="Times New Roman"/>
          <w:b/>
          <w:sz w:val="20"/>
          <w:szCs w:val="20"/>
          <w:lang w:eastAsia="ru-RU"/>
        </w:rPr>
        <w:t>Динамика численности лося, косули сибирской и барсука</w:t>
      </w:r>
    </w:p>
    <w:p w:rsidR="00D76553" w:rsidRDefault="00D765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 от охотпользователей поданы в установленные сроки.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тем, что лимит и квоты добычи охотничьих ресурсов рассчитаны исходя из актуальной 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численности на территории Чувашской Республики в соответствии с </w:t>
      </w:r>
      <w:hyperlink r:id="rId15" w:history="1">
        <w:r>
          <w:rPr>
            <w:rFonts w:ascii="Times New Roman" w:hAnsi="Times New Roman"/>
            <w:sz w:val="24"/>
            <w:szCs w:val="24"/>
            <w:lang w:eastAsia="ru-RU"/>
          </w:rPr>
          <w:t>Нормативами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допустимого изъятия </w:t>
      </w:r>
      <w:r>
        <w:rPr>
          <w:rFonts w:ascii="Times New Roman" w:hAnsi="Times New Roman"/>
          <w:sz w:val="24"/>
          <w:szCs w:val="24"/>
          <w:lang w:eastAsia="ru-RU"/>
        </w:rPr>
        <w:t xml:space="preserve">охотничьих ресурсов, утвержденными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природных ресурсов и экологии Российской Федерации от 27 января 2022 г. №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49,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ероятность возникновения риска, экологических и связанных с ним социальных и экономических последствий отсутствует.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Альт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ернативными вариантами достижения цели намечаемой хозяйственной деятельности являются: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Увеличение или уменьшение проектируемых лимитов и квот добычи охотничьих ресурсов.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Непредставление охотпользователями заявок на установление квоты добычи охотничьи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ресурсов.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«Нулевой вариант»,  то есть запрет на добычу охотничьих ресурсов.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увеличения численности охотничьих ресурсов, а также достижения оптимальной половой и возрастной структуры и качественных показателей охотничьих ресурсов охотпользовате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 вправе указать в заявке меньший размер квоты в отношении охотничьего ресурса, чем рассчитанный по установленным нормативам допустимого изъятия.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Описание погодных условий при проведении учетных работ</w:t>
      </w:r>
    </w:p>
    <w:p w:rsidR="00D76553" w:rsidRDefault="00D765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зимних учетов 2025 года в Чувашской 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ике наблюдалась переменная погода.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Начало периода проведения учетов характеризовалось теплой неустойчивой погодой с периодическими неинтенсивными осадками в виде дождя, порошей. Глубина снежного покрова на территории Чувашской Республики не превышала 15 см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к концу января в связи с потеплением и дождями глубина снежного покрова достигла минимума. На отдельных открытых участках снежный покров отсутствовал. Далее в начале февраля месяца установилась преимущественно устойчивая погода, без оттепелей и сильных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морозов, благоприятная для проведения зимних учетов. К концу февраля глубина снежного покрова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территории Чувашской Республики вновь достигла 15 см, местами до 25 см. С приходом в Чувашию 6-7 марта теплого фронта с дождями началось интенсивное таяние 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ега, и к концу полевых учетных работ снежный покров практически отсутствовал. Полевые учетные работы преимущественно проведены в период до 25 января и в течение февраля после пороши и снегопада.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полевых учетных работ проходило при погодных услов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иях, исключающих метель и сильный снегопад, а также экстремальные температурные показатели (сильный мороз, оттепель). В целом погодные условия были менее благоприятны для проведения учетов, чем в предыдущие годы. Продолжительных низких температур воздуха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учета не отмечалось.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Исключая неблагоприятн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 для проведения учетов дни, с учетом расположения угодий по территории республики, из двух месяцев отведенных для проведения учетов только 30-35 дней позволяли качественно пройти учеты. Следует отметить, что плотный характер снежного покрова сохранялся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всего периода учета, что могло способствовать большему количества оставляемых зверями следов.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Немного облегчали проведение зимних учетов снегопады в виде слабой пороши, когда учет проводился в один день без затирки. В зависимости от территории нах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ождения угодий от 10 до 15 дней были использованы для такого учета, что значительно сокращало затраты физических и материально-технических ресурсов.</w:t>
      </w:r>
    </w:p>
    <w:p w:rsidR="00D76553" w:rsidRDefault="00D76553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6553" w:rsidRDefault="00F6017F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Социально-экономическая ситуация в районе реализации планируемой хозяйственной и иной деятельност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</w:p>
    <w:p w:rsidR="00D76553" w:rsidRDefault="00D76553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6553" w:rsidRDefault="00F601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комплексного анализа социально-экономического развития Чувашской Республики в Стратегии социально-экономического развития Чувашской Республики до 2035 года, утвержденной Законом Чувашской Республики от 26.11.2020 № 112, определено ее место в 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кономике Приволжского федерального округа и Российской Федерации.</w:t>
      </w:r>
    </w:p>
    <w:p w:rsidR="00D76553" w:rsidRDefault="00F601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 сегодня стабильно занимает достойное место в авторитетных межрегиональных рейтингах.</w:t>
      </w:r>
    </w:p>
    <w:p w:rsidR="00D76553" w:rsidRDefault="00F601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то же время экономика Чувашской Республики характеризуется более высокой чувствите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льностью к кризисным явлениям, чем Российская Федерация в целом.</w:t>
      </w:r>
    </w:p>
    <w:p w:rsidR="00D76553" w:rsidRDefault="00F601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показатели, характеризующие социально-экономическое положение Чувашской Республики, приведены в приложении 1 к Стратегии.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Описание возможных видов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воздействия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окружающую среду пл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анируемой (намечаемой) хозяйственной и иной деятельности по альтернативным вариантам</w:t>
      </w:r>
    </w:p>
    <w:p w:rsidR="00D76553" w:rsidRDefault="00D76553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22 Федерального закона от 10 января 2002 г. № 7-ФЗ «Об охране окружающей среды», в целях предотвращения негативного воздействия на окружающую ср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еду хозяйственной и иной деятельности для юридических и физических лиц, устанавливаются нормативы допустимого изъятия компонентов природной среды, к которым в том числе относятся и охотничьи ресурсы. В соответствии со статьей 6 Федерального закона «О живот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 мире», указанные нормативы устанавливаются органами исполнительной власти субъектов Российской Федерации по согласованию со специально уполномоченным федеральным органом по охране, контролю и регулированию использования объектов животного мира и среды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обитания.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Увеличение проектируемых лимитов и квот добычи охотничьих ресурсов приведет к нарушению требований Нормативов допустимого изъятия охотничьих ресурсов, утвержденных приказом </w:t>
      </w:r>
      <w:r>
        <w:rPr>
          <w:rFonts w:ascii="Times New Roman" w:hAnsi="Times New Roman"/>
          <w:sz w:val="24"/>
          <w:szCs w:val="24"/>
        </w:rPr>
        <w:t xml:space="preserve">Минприроды России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27 января 2022 г. № 49</w:t>
      </w:r>
      <w:r>
        <w:rPr>
          <w:rFonts w:ascii="Times New Roman" w:hAnsi="Times New Roman"/>
          <w:sz w:val="24"/>
          <w:szCs w:val="24"/>
        </w:rPr>
        <w:t>.</w:t>
      </w:r>
    </w:p>
    <w:p w:rsidR="00D76553" w:rsidRDefault="00F6017F">
      <w:pPr>
        <w:spacing w:after="0" w:line="240" w:lineRule="auto"/>
        <w:ind w:right="-3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Необоснованное снижени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проектируемых лимитов и квот добычи охотничьих ресурсов приведет к жалобам со стороны охотпользователей, неполном освоении природных ресурсов, недополучении поступлений в республиканский бюджет Чувашской Республики.</w:t>
      </w:r>
    </w:p>
    <w:p w:rsidR="00D76553" w:rsidRDefault="00F601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Непредставление охотпользователями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заявок на добычу приведет к повышению численности лося и косули сибирской, нарушению равновесия в экосистеме, что будет выражено в уничтожении лосями молодой древесной растительности. Также превышение плотности популяции копытных приведет к откочевке в мал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опригодные для обитания вида охотничьи угодья и повышенной гибели при дорожно-транспортных происшествиях, снижению потенциала развития охотничьего туризма.</w:t>
      </w:r>
    </w:p>
    <w:p w:rsidR="00D76553" w:rsidRDefault="00F601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«Нулевой вариант», то есть запрет на добычу охотничьих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ресурсов также приведет к повышению численности лимитируемых охотничьих ресурсов, нарушению равновесия в экосистеме, повышению нерентабельности ведения охотничьего хозяйства, снижению потенциала развития охотничьего туризма.</w:t>
      </w:r>
    </w:p>
    <w:p w:rsidR="00D76553" w:rsidRDefault="00F601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установление лим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итов и квот добычи охотничьих ресурсов обеспечит рациональное использование ресурсов охотпользователями, обеспечит равновесие в экосистеме и предотвратит упомянутые негативные последствия на окружающую среду.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Осуществление охоты и ведение охотничьего хозяй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ства подразумевает изъятие объектов животного мира.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Суть намечаемой хозяйственной деятельности, как по заявляемой деятельности, так и по предложенным альтернативным вариантам заключается в устойчивом использовании ресурса лимитируемых охотничьих ресурсов,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котором не будет нанесен вред их популяциям.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После осуществления планируемой деятельности отсутствуют остаточные воздействия на окружающую среду.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окружающей среды, которая может быть затронута планируемой (намечаемой)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хозяйственной и иной деятельностью в результате ее реализации</w:t>
      </w:r>
    </w:p>
    <w:p w:rsidR="00D76553" w:rsidRDefault="00D76553">
      <w:pPr>
        <w:spacing w:after="0" w:line="240" w:lineRule="auto"/>
        <w:ind w:right="282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Чувашская Республика расположена в европейской части Российской Федерации, в среднем течении р. Волга. С севера она граничит с Республикой Марий Эл, с востока с Республикой Татарстан, с юга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Ульяновской областью и Республикой Мордовия, с запада с Нижегородской областью. 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междуречье р. Сура и р. Свияга Чувашская Республика располагается на Приволжской возвышенности (высоты до 260 м над у. м.). По правобережью р. Волги местность пересечена овр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агами. Левобережье равнинное. 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Климат умеренно-континентальный с четко выраженными сезонами года (+19 градусов в июле, -13 градусов в январе). Среднегодовая температура воздуха от -3 до -3,7 градусов; зимний максимум -46 градусов, летний максимум +39 град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усов. В северной части региона глубина промерзания достигает 1 метра и более, в средней и южной – 80 см. Снежный покров держится 5 месяцев. Величина относительной влажности  в декабре – январе равна 90%, а в мае-июне – около 60%. За год выпадает от 450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700 мм осадков, но крайне неравномерно. 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заселения территория современной Чувашии, за исключением юго-восточной части, вся была покрыта лесами. В 1795 г. площадь лесов составляла 49% территории, в 1926 г. – 31,2%. Сокращение площади лесов продолжалось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дальнейшем, особенно в годы индустриализации и Великой Отечественной войны. В результате работ по восстановлению лесов их площадь к 2000 г. достигла уровня 1926 г., а в отдельных районах леса занимают более 50% территории (Государственный доклад…, 2005)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Вся территория Чувашской Республики делится на 6 растительных районов. Заволжский хвойный район покрыт сосняками различного типа. Около 65 % всей площади района занимают сосняки-брусничники и сосняки-черничники. В этих типах сосняков развит сплошной мохо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покров. Обычными видами подлеска являются: ракитник русский (С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ytisus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.), дрок красильный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Genista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.), ландыш майский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Convallaria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mayalis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купена лекарственная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Polygonatum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All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из кустарников – брусника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Vaccinium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idaea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черника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Vaccinium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myrtil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Растительность Заволжского хвойного района представлена значительными по площади массивами хвойных лесов с преобладанием светлохвойных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насаждений, а также мелколиственных и светлохвойных молодняков и жердняков, с бедной подпологовой растительностью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бедных песчаных почвах.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югу от Волги расположен Приволжский дубравно-лесостепный район, занимающий около трети территории республики. Здесь среди лесов преобладают дубравы. Встречаются чистые дубравы и дубравы из дуба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Quercus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robur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с липой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Tilia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cor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data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, кленами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Acer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platanoides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 вязами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Ulmus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laevis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а в западных частях района – с ясенем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Fraxinus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excelsior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 Подлесок состоит из лещины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Corylus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avellana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с постоянным участием  рябины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Sorbus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aucuparia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калины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Viburnum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opulus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черемухи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Padus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avium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 В условиях нормального водоснабжения травянистый покров насчитывает более 30 видов. Западнее Приволжского дубравно-лесостепного района и к востоку от р. Суры расположен Присурский дубравный район. Здесь распространены дубравы с примесью ясеня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Fraxinus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excelsior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липы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Tilia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cordata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 В подлеске наряду с лещиной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Corylus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avellana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 произрастают малина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Rubus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idaeus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смородина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Ribes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nigrum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и др. Южнее линии Порецкое–Вурнары и на восток от р. Суры расположен Присурский хвойный район – уникал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ьный природный комплекс. В северной его части произрастают великовозрастные ельники, остальная территория занята березой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Betula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pendula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roth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осиной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Pinus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sylvestris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 Здесь встречаются редкие виды растений. В юго-восточном и юго-западных степных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доминируют лугово-степные ассоциации. В травостое преобладает разнотравье, в состав которого иногда входят и редкие виды: мордовник обыкновенный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Centaurea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ruthenica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василек русский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Centaurea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ruthenica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коровяк фиолетовый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Verbasicusm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thapsus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 лили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саранка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Lilium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martagon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 из кустарников – степная вишня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Cerasus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fruticosa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охотничьи виды зверей Чувашской Республики: лось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Alces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alces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кабан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scorfa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косуля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Capreolus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capreolus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волк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Canis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lupus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лисица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Vulpes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vulpes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барсук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Meles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meles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енотовидная собака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Nyctereutes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procyonoides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заяц-беляк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Lepus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timidus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заяц-русак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Lepus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europaeus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сурок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Marmota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bobac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ондатра (Ondatra zibethicus), белка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Sciurus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vulgaris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куница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Martes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martes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ласка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Mustela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nivalis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бобр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Cas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tor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fiber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(реаклиматизирован).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охотничьи виды птиц Чувашской Республики: глухарь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Tetrao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urogallus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тетерев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Lururus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tetrix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рябчик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Bonasa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bonasia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кряква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Anas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platyrhynchos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чирок-трескунок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Anas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querquedula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, чирок-свистунок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Anas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crecca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свиязь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Anas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penelope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красноголовый нырок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Aythya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ferina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широконоска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Anas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clypeata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вальдшнеп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Scolopax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rusticola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бекас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Gallinado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gallinado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перепел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Coturnix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coturnix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AF595B">
        <w:rPr>
          <w:rFonts w:ascii="Times New Roman" w:eastAsia="Times New Roman" w:hAnsi="Times New Roman"/>
          <w:sz w:val="24"/>
          <w:szCs w:val="24"/>
          <w:lang w:eastAsia="ru-RU"/>
        </w:rPr>
        <w:t>серая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куропатка (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Perdix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perdix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Трансграничное воздействие </w:t>
      </w:r>
      <w:r>
        <w:rPr>
          <w:rFonts w:ascii="Times New Roman" w:eastAsia="Times New Roman" w:hAnsi="Times New Roman"/>
          <w:sz w:val="24"/>
        </w:rPr>
        <w:t>исходя из обязательств Российской Федерации, вытекающих из международных договоров Российской Федерации в области охраны окружающей среды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от планируемой деятельности отсутствует. </w:t>
      </w:r>
      <w:r>
        <w:rPr>
          <w:rFonts w:ascii="Times New Roman" w:eastAsia="Times New Roman" w:hAnsi="Times New Roman"/>
          <w:sz w:val="24"/>
        </w:rPr>
        <w:t>Планируемые мероприятия не затрагивают полномочия, которые регулируют докуме</w:t>
      </w:r>
      <w:r>
        <w:rPr>
          <w:rFonts w:ascii="Times New Roman" w:eastAsia="Times New Roman" w:hAnsi="Times New Roman"/>
          <w:sz w:val="24"/>
        </w:rPr>
        <w:t>нты территориального и стратегического планирования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76553" w:rsidRDefault="00D76553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6553" w:rsidRDefault="00F6017F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Состояние попу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ляций лося, косули сибирской и барсука на территории Чувашской Республики, имеющиеся прямые, косвенные и иные воздействия на 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их</w:t>
      </w:r>
    </w:p>
    <w:p w:rsidR="00D76553" w:rsidRDefault="00D76553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6553" w:rsidRDefault="00F6017F">
      <w:pPr>
        <w:widowControl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Лось.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Снеговой покров – важный фактор, определяющий сезонные перемещения и плотность особей лося и косули сибирской. Основными параметрами, влияющими на сезонную активность лося и косули, принято считать высоту, плотность и твердость снегового покрова. Лимитирую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щими факторами, определяющими пространственное размещение лося и косули, являются кормовые и защитные свойства угодий, а также глубина и характер распределения снегового покрова. Стации обитания лося – это лесные массивы с хорошим подростом, наличием небол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ьших по площади зарастающих вырубок, густых молодых зарослей и полян. Косуля обитает на лугах среди высокой травы с редкими кустарниками, за которыми можно прятаться. Так же их можно встретить на лесных вырубках, и в редколесье. Дневное время косули провод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ят в укрытии, а с наступлением сумерек выходят на кормежку. Они предпочитают сочные травы, ягоды и молодые побеги деревьев, хотя могут питаться и менее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привлекательной пищей, особенно это касается холодного времени года, когда дефицит пищи заставляет их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брезговать корой деревьев и сосновой хвоей. В поисках спокойных мест при массовых посещениях угодий туристами, сборщиками грибов, ягод и лекарственных растений лоси скапливаются на болотах, в поймах рек, на берегах озер, а также в открытых, продуваемых 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одьях - вырубках, полянах, опушках леса.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низкой численностью охота на лося в Чувашии была закрыта с 2000 года до сезона охоты 2008-2009 годов, на косулю сибирскую охота была закрыта до сезона охоты 2020-2021 годов, на барсука с 2019 по 2024 год.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2006 года наблюдается устойчивый, постепенный рост численности лося, что объясняется наряду с естественными колебаниями численности комплексом положительно влияющих на рост численности факторов, таких как трансформация местообитаний вида (смена раститель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ности при лесовосстановлении вырубленных площадей смешанными и мелколиственными молодняками), что приводит к обогащению кормовой базы. В 2022-2023 годах наблюдались естественные колебания численности лося, которые связаны, в том числе, с внесением изменени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в Методику зимнего маршрутного учета.</w:t>
      </w:r>
    </w:p>
    <w:p w:rsidR="00D76553" w:rsidRDefault="00F6017F">
      <w:pPr>
        <w:widowControl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Косуля сибирская.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большинстве регионов России после кабана самым массовым и доступным охотничьим животным из всех копытных является косуля. Она хотя и уступает кабану по экологической пластичности, но превосходит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стальных копытных по этому показателю. Это животное весьма плодовито - в большинстве случаев самки приносят по 2 детеныша в помете, а процент самок, остающихся яловыми, очень невелик. Спектр биотопов, пригодных для обитания косули, тоже весьма широк. Гораз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более серьезным лимитирующим фактором для косули (если сравнивать ее с кабаном) являются хищники – волки и бродячие собаки.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2015 года наблюдается кратное увеличение численности косули сибирской - с 59 особей до 1720 особей в 2021 году с понижением в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022-2024 годах. По итогам зимних учетов 2025 года численность косули сибирской составила 1751 особь.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данным зимних учетов 2022-2024 года наблюдались естественные колебания численности лося и косули сибирской, что, в том числе, связано с применением новы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методик зимних учетов, в соответствии с которыми ЗМУ проводится только на отдельных обособленных участках охотничьих угодий площадью более 8 тыс. га. На отдельных обособленных участках охотничьих угодий площадью менее 8 тыс. га для учета лося и косули 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бирской в 2022 году был предусмотрен только авиаучет, в 2023-2025 годах - авиаучет и шумовой прогон.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причинами гибели лося и косули сибирской являются хищничество, наезд транспорта. После закрытия охоты хищничество продолжает ограничивать численн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ость лосей и косуль. Поэтому сокращение численности волков способствует увеличению выживаемости лосих, косулих и их телят и, следовательно, ведет к увеличению численности видов на территории Чувашской Республики.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 в ходе спортивно-любительской охоты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регулирования численности в период сезона охоты 2024/2025 гг. добыто 11 волков (2018/2019 - 11, 2019/2020 - 22, 2020/2021 – 9, 2021/2022 – 3, 2022/2023 – 9, 2023/2024 - 9).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Большую роль в положительной динамике численности лося и косули сибирской играют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роводимые мероприятия на территории республики: регулирование численности волка, пресечение фактов нелегальной добычи, проведение комплекса биотехнических и охотхозяйственных мероприятий.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сохранения устойчивого существования популяционной группировки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ося и косули сибирской на территории республики необходимо обеспечить ее формирование из максимально продуктивных средневозрастных животных, изымать из популяции малопродуктивных, менее жизнестойких особей (наиболее плодовитыми являются средневозрастные 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мки, по сравнению с лосихами и косулихами 2-3-летнего возраста).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Барсук.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типичный норник, самостоятельно выкапывающий лабиринты подземных ходов. Места поселений барсуков всегда связаны с речными долинами, возвышениями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оврагами поблизости от воды,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едпочитая песчаные почвы, залегающие под слоем глины или суглинка. Питается зверек преимущественно насекомыми и мышевидными грызунами, а также лягушками, ящерицами, змеями, птицами и их яйцами, ягодами, плодами и зелеными частями растений. Таким образом,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едостатка в кормовой базе и благоприятных условий для норения, как правило, зверь не испытывает. Однако в связи с интенсивным ведением сельского хозяйства в Чувашской Республике, а также высокой плотностью населения ареал распространения вида достаточно 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раничен. Численность барсука за последние 10 лет варьирует и составлял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от 190 до 263 особей, то есть имеет относительную стабильность.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Численность барсука по учетным данным 2024 года по поселениям и встреченным отдельным следам вида составила 235 особей.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Наибольшая численность учитывается в Вурнарском, Канашском и Порецком муниципальных округах с количеством голов: 44; 42 и 38 особей, соответственно.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 2024 года охота на барсука в Чувашской Республике была закрыта. В связи с внесением изменений в Федераль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ный закон «Об охоте» запрет охоты на барсука на последующие годы не устанавливается.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tabs>
          <w:tab w:val="left" w:pos="600"/>
          <w:tab w:val="left" w:pos="9639"/>
        </w:tabs>
        <w:spacing w:after="0" w:line="240" w:lineRule="auto"/>
        <w:ind w:right="-30"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Таблица 2</w:t>
      </w:r>
    </w:p>
    <w:p w:rsidR="00D76553" w:rsidRDefault="00F6017F">
      <w:pPr>
        <w:tabs>
          <w:tab w:val="left" w:pos="600"/>
        </w:tabs>
        <w:spacing w:after="0" w:line="240" w:lineRule="auto"/>
        <w:ind w:right="-282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Динамика добычи охотничьих ресурсов за 2015-2024 годы</w:t>
      </w:r>
    </w:p>
    <w:p w:rsidR="00D76553" w:rsidRDefault="00D76553">
      <w:pPr>
        <w:tabs>
          <w:tab w:val="left" w:pos="600"/>
        </w:tabs>
        <w:spacing w:after="0" w:line="240" w:lineRule="auto"/>
        <w:ind w:right="-282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1291"/>
        <w:gridCol w:w="788"/>
        <w:gridCol w:w="788"/>
        <w:gridCol w:w="787"/>
        <w:gridCol w:w="789"/>
        <w:gridCol w:w="789"/>
        <w:gridCol w:w="789"/>
        <w:gridCol w:w="791"/>
        <w:gridCol w:w="791"/>
        <w:gridCol w:w="791"/>
        <w:gridCol w:w="785"/>
      </w:tblGrid>
      <w:tr w:rsidR="00D76553">
        <w:tc>
          <w:tcPr>
            <w:tcW w:w="395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647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охотничьего ресурса</w:t>
            </w:r>
          </w:p>
        </w:tc>
        <w:tc>
          <w:tcPr>
            <w:tcW w:w="3958" w:type="pct"/>
            <w:gridSpan w:val="10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Добыча по годам, голов</w:t>
            </w:r>
          </w:p>
        </w:tc>
      </w:tr>
      <w:tr w:rsidR="00D76553">
        <w:tc>
          <w:tcPr>
            <w:tcW w:w="395" w:type="pct"/>
            <w:vMerge/>
            <w:vAlign w:val="center"/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7" w:type="pct"/>
            <w:vMerge/>
            <w:vAlign w:val="center"/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6553"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7" w:type="pct"/>
            <w:vAlign w:val="center"/>
          </w:tcPr>
          <w:p w:rsidR="00D76553" w:rsidRDefault="00F60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Лось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148</w:t>
            </w:r>
          </w:p>
        </w:tc>
      </w:tr>
      <w:tr w:rsidR="00D76553"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pct"/>
            <w:vAlign w:val="center"/>
          </w:tcPr>
          <w:p w:rsidR="00D76553" w:rsidRDefault="00F60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Косуля сибирская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D76553" w:rsidRDefault="00F601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7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95" w:type="pc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89</w:t>
            </w:r>
          </w:p>
        </w:tc>
      </w:tr>
      <w:tr w:rsidR="00D76553">
        <w:trPr>
          <w:trHeight w:val="230"/>
        </w:trPr>
        <w:tc>
          <w:tcPr>
            <w:tcW w:w="395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7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Барсук</w:t>
            </w:r>
          </w:p>
        </w:tc>
        <w:tc>
          <w:tcPr>
            <w:tcW w:w="395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5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5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vMerge w:val="restart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vMerge w:val="restart"/>
            <w:vAlign w:val="center"/>
          </w:tcPr>
          <w:p w:rsidR="00D76553" w:rsidRDefault="00F601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vMerge w:val="restart"/>
            <w:vAlign w:val="center"/>
          </w:tcPr>
          <w:p w:rsidR="00D76553" w:rsidRDefault="00F601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vMerge w:val="restar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vMerge w:val="restar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" w:type="pct"/>
            <w:vMerge w:val="restart"/>
            <w:vAlign w:val="center"/>
          </w:tcPr>
          <w:p w:rsidR="00D76553" w:rsidRDefault="00F6017F">
            <w:pPr>
              <w:pStyle w:val="aff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</w:tr>
    </w:tbl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*- охота на косулю сибирскую до 2019 года была закрыта, 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**-охота на барсука до 2024 года была закрыта.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гибели лося и косули сибирской за период 2015-2024 годов представлена в таблицах 3, 4.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tabs>
          <w:tab w:val="left" w:pos="600"/>
        </w:tabs>
        <w:spacing w:after="0" w:line="240" w:lineRule="auto"/>
        <w:ind w:right="-28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Таблица 3</w:t>
      </w:r>
    </w:p>
    <w:p w:rsidR="00D76553" w:rsidRDefault="00D76553">
      <w:pPr>
        <w:tabs>
          <w:tab w:val="left" w:pos="600"/>
        </w:tabs>
        <w:spacing w:after="0" w:line="240" w:lineRule="auto"/>
        <w:ind w:right="-28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553" w:rsidRDefault="00F6017F">
      <w:pPr>
        <w:widowControl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Данные о гибели лося за 2015-2024 годы</w:t>
      </w:r>
    </w:p>
    <w:p w:rsidR="00D76553" w:rsidRDefault="00D76553">
      <w:pPr>
        <w:widowControl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764"/>
        <w:gridCol w:w="765"/>
        <w:gridCol w:w="765"/>
        <w:gridCol w:w="764"/>
        <w:gridCol w:w="765"/>
        <w:gridCol w:w="765"/>
        <w:gridCol w:w="764"/>
        <w:gridCol w:w="765"/>
        <w:gridCol w:w="765"/>
        <w:gridCol w:w="765"/>
      </w:tblGrid>
      <w:tr w:rsidR="00D76553">
        <w:trPr>
          <w:jc w:val="center"/>
        </w:trPr>
        <w:tc>
          <w:tcPr>
            <w:tcW w:w="1893" w:type="dxa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Причина гибели 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6553">
        <w:trPr>
          <w:jc w:val="center"/>
        </w:trPr>
        <w:tc>
          <w:tcPr>
            <w:tcW w:w="1893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ДТП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D76553">
        <w:trPr>
          <w:jc w:val="center"/>
        </w:trPr>
        <w:tc>
          <w:tcPr>
            <w:tcW w:w="1893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Незаконная охота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D76553">
        <w:trPr>
          <w:jc w:val="center"/>
        </w:trPr>
        <w:tc>
          <w:tcPr>
            <w:tcW w:w="1893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Хищничество (волк)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6553">
        <w:trPr>
          <w:jc w:val="center"/>
        </w:trPr>
        <w:tc>
          <w:tcPr>
            <w:tcW w:w="1893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Неизвестная (иная) причина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D76553">
        <w:trPr>
          <w:jc w:val="center"/>
        </w:trPr>
        <w:tc>
          <w:tcPr>
            <w:tcW w:w="1893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4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5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</w:tr>
    </w:tbl>
    <w:p w:rsidR="00D76553" w:rsidRDefault="00D76553">
      <w:pPr>
        <w:tabs>
          <w:tab w:val="left" w:pos="600"/>
        </w:tabs>
        <w:spacing w:after="0" w:line="240" w:lineRule="auto"/>
        <w:ind w:right="-28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D76553">
      <w:pPr>
        <w:tabs>
          <w:tab w:val="left" w:pos="600"/>
        </w:tabs>
        <w:spacing w:after="0" w:line="240" w:lineRule="auto"/>
        <w:ind w:right="-28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tabs>
          <w:tab w:val="left" w:pos="600"/>
        </w:tabs>
        <w:spacing w:after="0" w:line="240" w:lineRule="auto"/>
        <w:ind w:right="-28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Таблица 4</w:t>
      </w:r>
    </w:p>
    <w:p w:rsidR="00D76553" w:rsidRDefault="00D76553">
      <w:pPr>
        <w:widowControl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553" w:rsidRDefault="00F6017F">
      <w:pPr>
        <w:widowControl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Данные о гибели косули сибирской за 2015-2024 годы</w:t>
      </w:r>
    </w:p>
    <w:p w:rsidR="00D76553" w:rsidRDefault="00D76553">
      <w:pPr>
        <w:widowControl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767"/>
        <w:gridCol w:w="768"/>
        <w:gridCol w:w="768"/>
        <w:gridCol w:w="767"/>
        <w:gridCol w:w="768"/>
        <w:gridCol w:w="768"/>
        <w:gridCol w:w="767"/>
        <w:gridCol w:w="768"/>
        <w:gridCol w:w="768"/>
        <w:gridCol w:w="768"/>
      </w:tblGrid>
      <w:tr w:rsidR="00D76553">
        <w:trPr>
          <w:trHeight w:val="264"/>
          <w:jc w:val="center"/>
        </w:trPr>
        <w:tc>
          <w:tcPr>
            <w:tcW w:w="1964" w:type="dxa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Причина гибели </w:t>
            </w:r>
          </w:p>
        </w:tc>
        <w:tc>
          <w:tcPr>
            <w:tcW w:w="767" w:type="dxa"/>
            <w:vAlign w:val="center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7" w:type="dxa"/>
            <w:vAlign w:val="center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tabs>
                <w:tab w:val="left" w:pos="60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7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6553">
        <w:trPr>
          <w:jc w:val="center"/>
        </w:trPr>
        <w:tc>
          <w:tcPr>
            <w:tcW w:w="1964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ДТП</w:t>
            </w:r>
          </w:p>
        </w:tc>
        <w:tc>
          <w:tcPr>
            <w:tcW w:w="767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67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7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D76553">
        <w:trPr>
          <w:jc w:val="center"/>
        </w:trPr>
        <w:tc>
          <w:tcPr>
            <w:tcW w:w="1964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Незаконная охота</w:t>
            </w:r>
          </w:p>
        </w:tc>
        <w:tc>
          <w:tcPr>
            <w:tcW w:w="767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76553">
        <w:trPr>
          <w:jc w:val="center"/>
        </w:trPr>
        <w:tc>
          <w:tcPr>
            <w:tcW w:w="1964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Хищничество (собаки)</w:t>
            </w:r>
          </w:p>
        </w:tc>
        <w:tc>
          <w:tcPr>
            <w:tcW w:w="767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D76553">
        <w:trPr>
          <w:jc w:val="center"/>
        </w:trPr>
        <w:tc>
          <w:tcPr>
            <w:tcW w:w="1964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Неизвестная (иная) причина</w:t>
            </w:r>
          </w:p>
        </w:tc>
        <w:tc>
          <w:tcPr>
            <w:tcW w:w="767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76553">
        <w:trPr>
          <w:jc w:val="center"/>
        </w:trPr>
        <w:tc>
          <w:tcPr>
            <w:tcW w:w="1964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67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67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8" w:type="dxa"/>
          </w:tcPr>
          <w:p w:rsidR="00D76553" w:rsidRDefault="00F6017F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7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8" w:type="dxa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Гибели барсука за 10 летний период не зарегистрировано.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pageBreakBefore/>
        <w:tabs>
          <w:tab w:val="left" w:pos="9751"/>
        </w:tabs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</w:rPr>
        <w:lastRenderedPageBreak/>
        <w:t xml:space="preserve">Наличие территорий и (или) акваторий или зон с ограниченным режимом природопользования и иной хозяйственной деятельности, устанавливаемых в соответствии с законодательством Российской Федерации, в том числе особо охраняемых природных территорий и 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охранн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ых </w:t>
      </w:r>
      <w:r>
        <w:rPr>
          <w:rFonts w:ascii="Times New Roman" w:eastAsia="Times New Roman" w:hAnsi="Times New Roman"/>
          <w:b/>
          <w:bCs/>
          <w:sz w:val="24"/>
        </w:rPr>
        <w:t>зон, центральной экологической зоны Байкальской природной территории, прибрежных защитных полос, водоохранных зон водных объектов или их частей, водно-болотных угодий международного значения, зон с особыми условиями использования территорий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Планируемая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деятельность по освоению лимитов и квот осуществляется в границах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охотничьих угодий - территорий, в границах которых допускается осуществление видов деятельности в сфере охотничьего хозяйства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особо охраняемых природных территорий и их охран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зон планируемая деятельность не осуществляется.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оценки воздействия на окружающую среду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анализ наличия на территории охотничьих угод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ий прибрежных защитных полос, водоохранных зон водных объектов или их частей, водно-болотных угодий междун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ародного значения, зон с особыми условиями использования территорий не проводился в связи с отсутствием прямого или косвенного влияния, запретов осуществления планируемой деятельности, устанавливаемых в соответствии с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в границах охотничьих угодий.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tabs>
          <w:tab w:val="left" w:pos="9751"/>
        </w:tabs>
        <w:spacing w:after="0" w:line="240" w:lineRule="auto"/>
        <w:ind w:right="-2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Предложения по мероприятиям производственного экологического контроля и мониторинга окружающей среды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рамках проведения мероприятий производственного экологического контроля и мониторинга окружающей среды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охотпользователями и Казенным учреждением Чувашской Республики «Дирекция по охране и использованию животного мира и особо охраняемых природных территорий» на регулярной основе проводятся производственный охотничий контроль, федеральный государственный охо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тничий контроль (надзор), государственный мониторинг охотничьих ресурсов и среды их обитания, который является частью государственного экологического мониторинга (государственного мониторинга окружающей среды).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Данные государственного мониторинга охотничьи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ресурсов и среды их обитания применяются в целях выявления изменений состояния охотничьих ресурсов и среды их обитания под воздействием природных и (или) антропогенных факторов, оценки и прогноза этих изменений, формирования государственного охотхозяйств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енного реестра, а также в целях организации рационального использования охотничьих ресурсов, сохранения охотничьих ресурсов и среды их обитания.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tabs>
          <w:tab w:val="left" w:pos="9751"/>
        </w:tabs>
        <w:spacing w:after="0" w:line="240" w:lineRule="auto"/>
        <w:ind w:right="-2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Выявленные при проведении оценки воздействия на окружающую среду неопределенности в определении воздействий пл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анируемой (намечаемой) хозяйственной и иной деятельности на окружающую среду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оценки воздействия на окружающую среду неопределенности в определении воздействий планируемой (намечаемой) хозяйственной и иной деятельности на окружающую среду 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выявлены.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Проектируемые лимиты и квоты добычи охотничьих ресурсов на территории Чувашской Республики на период с 1 августа 2025 года до 1 августа 2026 года рассчитаны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актуальной их численности на территории Чувашской Республики в соответствии с </w:t>
      </w:r>
      <w:hyperlink r:id="rId16" w:history="1">
        <w:r>
          <w:rPr>
            <w:rFonts w:ascii="Times New Roman" w:hAnsi="Times New Roman"/>
            <w:sz w:val="24"/>
            <w:szCs w:val="24"/>
            <w:lang w:eastAsia="ru-RU"/>
          </w:rPr>
          <w:t>Нормативами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допустимого изъятия охотничьих ресурсов, утвержденными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природных ресурсов и экологии Российской Федерации от 27 января 2022 г. № 49 и заявок охотпользователей.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Обоснование выбора варианта реализации планируемой (намечаемой) хозяйственной и иной деятельности, исходя из рассмотренных альтернатив,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 также результатов проведенных исследований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 возможный лимит добычи лося на территории охотничьих угодий Чувашской Республики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период с 1 августа 2025 года до 1 августа 2026 года - 221 особь, что составляет 9,7 процента от численности в обще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доступных и закрепленных охотничьих угодьях. Лимит добычи лося проектируется в количестве 182 особи, что составляет 8,0 процентов от численности лося в общедоступных и закрепленных охотничьих угодьях.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 возможный лимит добычи косули сибирской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охотничьих угодий Чувашской Республики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период с 1 августа 2025 года до 1 августа 2026 года - 160 особей, что составляет 9,1 процента от численности в общедоступных и закрепленных охотничьих угодьях. Лимит добычи косули сибирской проектируется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количестве 131 особь, что составляет 7,5 процента от численности косули сибирской в общедоступных и закрепленных охотничьих угодьях.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 возможный лимит добычи барсука на территории охотничьих угодий Чувашской Республики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период с 1 августа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25 года до 1 августа 2026 года - 13 особей, что составляет 5,5 процента от численности в общедоступных и закрепленных охотничьих угодьях. Лимит добычи барсука проектируется в количестве 4 особи, что составляет 1,7 процента от численности барсука в общедост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упных и закрепленных охотничьих угодьях.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 лимита добычи охотничьих ресурсов представлен в приложении 1. Проект квот добычи лося представлен в приложении 2. Проект квот добычи косули сибирской представлен в приложении 3. Проект квот добычи барсука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дставлен в приложении 4.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Увеличение проектируемых лимитов и квот добычи охотничьих ресурсов приведет к нарушению требований Нормативов допустимого изъятия охотничьих ресурсов, утвержденных приказом </w:t>
      </w:r>
      <w:r>
        <w:rPr>
          <w:rFonts w:ascii="Times New Roman" w:hAnsi="Times New Roman"/>
          <w:sz w:val="24"/>
          <w:szCs w:val="24"/>
        </w:rPr>
        <w:t xml:space="preserve">Минприроды России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27 января 2022 г. № 49</w:t>
      </w:r>
      <w:r>
        <w:rPr>
          <w:rFonts w:ascii="Times New Roman" w:hAnsi="Times New Roman"/>
          <w:sz w:val="24"/>
          <w:szCs w:val="24"/>
        </w:rPr>
        <w:t>.</w:t>
      </w:r>
    </w:p>
    <w:p w:rsidR="00D76553" w:rsidRDefault="00F6017F">
      <w:pPr>
        <w:spacing w:after="0" w:line="240" w:lineRule="auto"/>
        <w:ind w:right="-3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Необоснова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нное снижение проектируемых лимитов и квот добычи охотничьих ресурсов приведет к жалобам со стороны охотпользователей, неполном освоении природных ресурсов, недополучении поступлений в республиканский бюджет Чувашской Республики.</w:t>
      </w:r>
    </w:p>
    <w:p w:rsidR="00D76553" w:rsidRDefault="00F601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Непредставление охотпол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ьзователями заявок на добычу приведет к повышению численности лося, косули сибирской и барсука, нарушению равновесия в экосистеме, что будет выражено в уничтожении лосями молодой древесной растительности. Также превышение плотности популяции копытных приве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 к откочевке в малопригодные для обитания вида охотничьи угодья и повышенной гибели при дорожно-транспортных происшествиях, снижению потенциала развития охотничьего туризма.</w:t>
      </w:r>
    </w:p>
    <w:p w:rsidR="00D76553" w:rsidRDefault="00F601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«Нулевой вариант», то есть запрет на добычу охотничьих ресурсов также привед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 к повышению численности лося и косули сибирской, нарушению равновесия в экосистеме, повышению нерентабельности ведения охотничьего хозяйства, снижению потенциала развития охотничьего туризма.</w:t>
      </w:r>
    </w:p>
    <w:p w:rsidR="00D76553" w:rsidRDefault="00F601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установление лимитов и квот добычи охотничьих ресурсов обеспечит рациональное использование ресурсов охотпользователями, обеспечит равновесие в экосистеме и предотвратит упомянутые негативные последствия.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добыче лося и косули сибирской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предстоящем сезоне охоты охотпользователям рекомендуется использовать метод селективного отстрела путем введения ограничения на добычу самок, имеющих приплод текущего года. В частности, увеличивать долю самок в стаде лося, доведя соотношение полов как 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имум 1:1.</w:t>
      </w:r>
    </w:p>
    <w:p w:rsidR="00D76553" w:rsidRDefault="00D76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Предложения по лимиту добычи охотничьих ресурсов на период </w:t>
      </w:r>
    </w:p>
    <w:p w:rsidR="00D76553" w:rsidRDefault="00F6017F">
      <w:pPr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1 августа 2025 года до 1 августа 2026 года</w:t>
      </w:r>
    </w:p>
    <w:p w:rsidR="00D76553" w:rsidRDefault="00D76553">
      <w:pPr>
        <w:spacing w:after="0" w:line="240" w:lineRule="auto"/>
        <w:ind w:right="282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комплексного анализа динамики численности лося и косули сибирской, предлагается целесообразным установить на период с 1 август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2025 года до 1 августа 2026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года лимит добычи лося в количестве 182 особи, косули сибирской - в количестве 131 особь, барсука – в количестве 4 особи.</w:t>
      </w:r>
    </w:p>
    <w:p w:rsidR="00D76553" w:rsidRDefault="00D76553">
      <w:pPr>
        <w:spacing w:after="0" w:line="240" w:lineRule="auto"/>
        <w:ind w:right="282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right="282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Резюме нетехнического характера</w:t>
      </w:r>
    </w:p>
    <w:p w:rsidR="00D76553" w:rsidRDefault="00D76553">
      <w:pPr>
        <w:spacing w:after="0" w:line="240" w:lineRule="auto"/>
        <w:ind w:right="282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Проведенная в 2025 году Минприроды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Чувашии работа по определению объема изъятия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(лимита, квоты добычи) лося, косули сибирской и барсука выполнена с учетом требований законодательства Российской Федерации в области охоты и сохранения охотничьих ресурсов, охраны объектов животного мира, экол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огической экспертизы.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Принятые расчетные показатели обоснованы действующими нормативами численности охотничьих ресурсов в охотничьих угодьях, нормативами допустимого изъятия охотничьих ресурсов, данными государственного мониторинга охотничьих ресурсов и ср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еды их обитания.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Планируемые объемы изъятия (лимита и квоты добычи) направлены на сохранение охотничьих ресурсов, увеличение численности охотничьих ресурсов, а также достижение оптимальной половой и возрастной структуры и качественных показателей охотничьи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ресурсов.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Запланированные объемы изъятия охотничьих ресурсов не приведут к нарушению установившегося экологического равновесия как в целом на территории Чувашской Республики, так и в биоценозах тех охотничьих угодий, в которых будет производиться их добы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ча.</w:t>
      </w:r>
    </w:p>
    <w:p w:rsidR="00D76553" w:rsidRDefault="00F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Рекомендуемый лимит и квоты добычи охотничьих ресурсов после получения положительного заключения государственной экологической экспертизы регионального уровня необходимо направить на согласование в Министерство природных ресурсов и экологии Российской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Федерации, после чего утвердить решением Главы Чувашской Республики. Предлагается направить на согласование лимит и квоты добычи, приведенные в приложениях 1-4 к настоящим материалам ОВОС.</w:t>
      </w:r>
    </w:p>
    <w:p w:rsidR="00D76553" w:rsidRDefault="00D7655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553" w:rsidRDefault="00D76553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D76553">
          <w:headerReference w:type="default" r:id="rId17"/>
          <w:pgSz w:w="11906" w:h="16838"/>
          <w:pgMar w:top="851" w:right="624" w:bottom="851" w:left="1531" w:header="709" w:footer="709" w:gutter="0"/>
          <w:cols w:space="708"/>
          <w:titlePg/>
          <w:docGrid w:linePitch="360"/>
        </w:sectPr>
      </w:pPr>
    </w:p>
    <w:p w:rsidR="00D76553" w:rsidRDefault="00F6017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76553" w:rsidRDefault="00D76553">
      <w:pPr>
        <w:spacing w:after="0"/>
        <w:jc w:val="right"/>
        <w:rPr>
          <w:rFonts w:ascii="Times New Roman" w:hAnsi="Times New Roman"/>
        </w:rPr>
      </w:pPr>
    </w:p>
    <w:p w:rsidR="00D76553" w:rsidRDefault="00F6017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Проект лимита добычи охотничьих ресурсов</w:t>
      </w:r>
    </w:p>
    <w:p w:rsidR="00D76553" w:rsidRDefault="00F601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период  с  1  августа  2025 г.  до  1  августа  2026 г.</w:t>
      </w:r>
    </w:p>
    <w:p w:rsidR="00D76553" w:rsidRDefault="00D76553">
      <w:pPr>
        <w:pStyle w:val="afc"/>
        <w:spacing w:after="0"/>
        <w:ind w:left="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81"/>
      </w:tblGrid>
      <w:tr w:rsidR="00D76553">
        <w:tc>
          <w:tcPr>
            <w:tcW w:w="126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 Российской Федерации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Чувашская Республика</w:t>
            </w:r>
          </w:p>
        </w:tc>
      </w:tr>
    </w:tbl>
    <w:p w:rsidR="00D76553" w:rsidRDefault="00D7655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1430"/>
        <w:gridCol w:w="1574"/>
        <w:gridCol w:w="851"/>
        <w:gridCol w:w="855"/>
        <w:gridCol w:w="818"/>
        <w:gridCol w:w="833"/>
        <w:gridCol w:w="1145"/>
        <w:gridCol w:w="1439"/>
        <w:gridCol w:w="855"/>
        <w:gridCol w:w="1578"/>
        <w:gridCol w:w="855"/>
        <w:gridCol w:w="1636"/>
        <w:gridCol w:w="879"/>
      </w:tblGrid>
      <w:tr w:rsidR="00D76553">
        <w:trPr>
          <w:jc w:val="center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охотничьих ресурсов</w:t>
            </w:r>
          </w:p>
        </w:tc>
        <w:tc>
          <w:tcPr>
            <w:tcW w:w="19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3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Предстоящий год</w:t>
            </w:r>
          </w:p>
        </w:tc>
      </w:tr>
      <w:tr w:rsidR="00D76553">
        <w:trPr>
          <w:trHeight w:val="254"/>
          <w:jc w:val="center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видов охотничьих ресурсов, особей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Лимит добычи, особей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Добыча, особей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лимита, %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видов охотничьих ресурсов, особей</w:t>
            </w:r>
          </w:p>
        </w:tc>
        <w:tc>
          <w:tcPr>
            <w:tcW w:w="19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Устанавливаемый лимит добычи, особей</w:t>
            </w:r>
          </w:p>
        </w:tc>
      </w:tr>
      <w:tr w:rsidR="00D76553">
        <w:trPr>
          <w:trHeight w:val="254"/>
          <w:jc w:val="center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от численности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для КМНС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76553">
        <w:trPr>
          <w:jc w:val="center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для КМНС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для КМНС</w:t>
            </w: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животные (старше 1 года)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года</w:t>
            </w:r>
          </w:p>
        </w:tc>
      </w:tr>
      <w:tr w:rsidR="00D76553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76553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Лось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6553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Косуля сибирская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6553">
        <w:trPr>
          <w:trHeight w:val="276"/>
          <w:jc w:val="center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76553" w:rsidRDefault="00D7655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402"/>
        <w:gridCol w:w="340"/>
        <w:gridCol w:w="1191"/>
        <w:gridCol w:w="624"/>
        <w:gridCol w:w="2324"/>
        <w:gridCol w:w="340"/>
        <w:gridCol w:w="3377"/>
      </w:tblGrid>
      <w:tr w:rsidR="00D76553"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Минприроды Чувашии 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Э.Н. Бедертдинов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"____" _____________ 20___ г.</w:t>
            </w:r>
          </w:p>
        </w:tc>
      </w:tr>
      <w:tr w:rsidR="00D76553"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 субъекта Российской Федерации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подписи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553" w:rsidRDefault="00F6017F">
      <w:pPr>
        <w:pageBreakBefore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lastRenderedPageBreak/>
        <w:t xml:space="preserve">Приложение 2 </w:t>
      </w:r>
    </w:p>
    <w:p w:rsidR="00D76553" w:rsidRDefault="00F60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квот добычи охотничьих ресурсов</w:t>
      </w:r>
    </w:p>
    <w:p w:rsidR="00D76553" w:rsidRDefault="00F60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период  с  1  августа  2025 года  до  1  августа  2026 года</w:t>
      </w:r>
    </w:p>
    <w:p w:rsidR="00D76553" w:rsidRDefault="00D765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76553" w:rsidRDefault="00F60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 Российской Федерации </w:t>
      </w:r>
      <w:r>
        <w:rPr>
          <w:rFonts w:ascii="Times New Roman" w:hAnsi="Times New Roman"/>
          <w:sz w:val="24"/>
          <w:szCs w:val="24"/>
          <w:u w:val="single"/>
        </w:rPr>
        <w:t>Чувашская Республика</w:t>
      </w:r>
    </w:p>
    <w:p w:rsidR="00D76553" w:rsidRDefault="00D7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553" w:rsidRDefault="00F6017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Вид охотничьих ресурсов </w:t>
      </w:r>
      <w:r>
        <w:rPr>
          <w:rFonts w:ascii="Times New Roman" w:hAnsi="Times New Roman"/>
          <w:sz w:val="24"/>
          <w:szCs w:val="24"/>
          <w:u w:val="single"/>
        </w:rPr>
        <w:t>Лось</w:t>
      </w:r>
    </w:p>
    <w:p w:rsidR="00D76553" w:rsidRDefault="00D76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24" w:tblpY="1"/>
        <w:tblW w:w="16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134"/>
        <w:gridCol w:w="567"/>
        <w:gridCol w:w="425"/>
        <w:gridCol w:w="425"/>
        <w:gridCol w:w="851"/>
        <w:gridCol w:w="425"/>
        <w:gridCol w:w="567"/>
        <w:gridCol w:w="425"/>
        <w:gridCol w:w="567"/>
        <w:gridCol w:w="567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426"/>
      </w:tblGrid>
      <w:tr w:rsidR="00D76553"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охотничьего угодья,</w:t>
            </w:r>
          </w:p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га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Итоговая численность охотничьих ресурсов, от которой устанавливалась квота добычи, особей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Плотность населения охотничьих ресурсо</w:t>
            </w:r>
            <w:r>
              <w:rPr>
                <w:rFonts w:ascii="Times New Roman" w:hAnsi="Times New Roman"/>
                <w:sz w:val="16"/>
                <w:szCs w:val="16"/>
              </w:rPr>
              <w:t>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угодья)</w:t>
            </w:r>
          </w:p>
        </w:tc>
        <w:tc>
          <w:tcPr>
            <w:tcW w:w="7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D76553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Максимально возможная квота добычи, особей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D76553">
        <w:trPr>
          <w:trHeight w:val="169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2023 - 2024 г.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2024 - 2025 г.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D76553">
        <w:trPr>
          <w:trHeight w:val="169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</w:t>
            </w:r>
          </w:p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(старше 1 года)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D76553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с неокостеневшими рогами (пантами)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кабарги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с неокостеневшими рогами (пантами)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кабарги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с неокостеневшими рогами (пантами)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кабарги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D76553">
        <w:trPr>
          <w:trHeight w:val="36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Алатырское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Кедр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Батыревское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Люльское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11,836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Вурнарское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24,756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Абакасинское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23,547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Ибресинское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40,552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314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Канашское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Комсомольское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Дубовское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Красночетайское, участок №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Балхаш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Вишенерское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Марпосадское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29,153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/>
                <w:sz w:val="16"/>
                <w:szCs w:val="16"/>
              </w:rPr>
              <w:t>тниковское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9,028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</w:t>
            </w:r>
            <w:r>
              <w:rPr>
                <w:rFonts w:ascii="Times New Roman" w:hAnsi="Times New Roman"/>
                <w:sz w:val="16"/>
                <w:szCs w:val="16"/>
              </w:rPr>
              <w:t>ргаушское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Тораевское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22,069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Порецкое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Алгашинское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Урмарское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45,135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Цивильское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51,725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/>
                <w:sz w:val="16"/>
                <w:szCs w:val="16"/>
              </w:rPr>
              <w:t>волжское, участок №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Новочебоксарское, участок №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Пихтулинское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6,197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Чукальское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18,298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Шемуршин-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13,434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Шумерлинское, участок №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47,959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Сурское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8,949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Ядринское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24,181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Сучковское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19,171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Янтиковское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45,073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D76553" w:rsidRDefault="00D76553">
      <w:pPr>
        <w:spacing w:after="0" w:line="240" w:lineRule="auto"/>
        <w:ind w:firstLine="528"/>
        <w:jc w:val="center"/>
        <w:rPr>
          <w:rFonts w:ascii="Times New Roman" w:hAnsi="Times New Roman"/>
        </w:rPr>
      </w:pPr>
    </w:p>
    <w:p w:rsidR="00D76553" w:rsidRDefault="00D765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402"/>
        <w:gridCol w:w="340"/>
        <w:gridCol w:w="1191"/>
        <w:gridCol w:w="624"/>
        <w:gridCol w:w="2324"/>
        <w:gridCol w:w="176"/>
        <w:gridCol w:w="2885"/>
      </w:tblGrid>
      <w:tr w:rsidR="00D76553"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Минприроды Чувашии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Э.Н. Бедертдинов</w:t>
            </w:r>
          </w:p>
        </w:tc>
        <w:tc>
          <w:tcPr>
            <w:tcW w:w="1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"___" __________ 20__ г.</w:t>
            </w:r>
          </w:p>
        </w:tc>
      </w:tr>
      <w:tr w:rsidR="00D76553"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 субъекта Российской Федерации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1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553" w:rsidRDefault="00D7655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553" w:rsidRDefault="00D7655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553" w:rsidRDefault="00D7655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553" w:rsidRDefault="00F6017F">
      <w:pPr>
        <w:pageBreakBefore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lastRenderedPageBreak/>
        <w:t xml:space="preserve">Приложение 3 </w:t>
      </w:r>
    </w:p>
    <w:p w:rsidR="00D76553" w:rsidRDefault="00F60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квот добычи охотничьих ресурсов</w:t>
      </w:r>
    </w:p>
    <w:p w:rsidR="00D76553" w:rsidRDefault="00F60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период  с  1  августа  2025 года  до  1  августа  2026 года</w:t>
      </w:r>
    </w:p>
    <w:p w:rsidR="00D76553" w:rsidRDefault="00D765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76553" w:rsidRDefault="00F60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 Российской Федерации </w:t>
      </w:r>
      <w:r>
        <w:rPr>
          <w:rFonts w:ascii="Times New Roman" w:hAnsi="Times New Roman"/>
          <w:sz w:val="24"/>
          <w:szCs w:val="24"/>
          <w:u w:val="single"/>
        </w:rPr>
        <w:t>Чувашская Республика</w:t>
      </w:r>
    </w:p>
    <w:p w:rsidR="00D76553" w:rsidRDefault="00D7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553" w:rsidRDefault="00F6017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Вид охотничьих ресурсов </w:t>
      </w:r>
      <w:r>
        <w:rPr>
          <w:rFonts w:ascii="Times New Roman" w:hAnsi="Times New Roman"/>
          <w:sz w:val="24"/>
          <w:szCs w:val="24"/>
          <w:u w:val="single"/>
        </w:rPr>
        <w:t>Косуля сибирская</w:t>
      </w:r>
    </w:p>
    <w:p w:rsidR="00D76553" w:rsidRDefault="00D76553">
      <w:pPr>
        <w:spacing w:after="0" w:line="240" w:lineRule="auto"/>
        <w:jc w:val="right"/>
        <w:rPr>
          <w:rFonts w:ascii="Times New Roman" w:hAnsi="Times New Roman"/>
          <w:szCs w:val="26"/>
        </w:rPr>
      </w:pPr>
    </w:p>
    <w:tbl>
      <w:tblPr>
        <w:tblpPr w:leftFromText="180" w:rightFromText="180" w:vertAnchor="text" w:tblpX="-505" w:tblpY="1"/>
        <w:tblW w:w="16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134"/>
        <w:gridCol w:w="567"/>
        <w:gridCol w:w="425"/>
        <w:gridCol w:w="425"/>
        <w:gridCol w:w="851"/>
        <w:gridCol w:w="425"/>
        <w:gridCol w:w="567"/>
        <w:gridCol w:w="425"/>
        <w:gridCol w:w="567"/>
        <w:gridCol w:w="567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426"/>
      </w:tblGrid>
      <w:tr w:rsidR="00D76553"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</w:t>
            </w:r>
            <w:r>
              <w:rPr>
                <w:rFonts w:ascii="Times New Roman" w:hAnsi="Times New Roman"/>
                <w:sz w:val="16"/>
                <w:szCs w:val="16"/>
              </w:rPr>
              <w:t>а), охотничьих угодий, иных территорий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охотничьего угодья,</w:t>
            </w:r>
          </w:p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га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добычи, особей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Плотность населения охотничьих ресурсов, рассчитанная для установления квоты добычи на период с 1 ав</w:t>
            </w:r>
            <w:r>
              <w:rPr>
                <w:rFonts w:ascii="Times New Roman" w:hAnsi="Times New Roman"/>
                <w:sz w:val="16"/>
                <w:szCs w:val="16"/>
              </w:rPr>
              <w:t>густа текущего года до 1 августа следующего года (особей на 1000 га площади охотничьего угодья)</w:t>
            </w:r>
          </w:p>
        </w:tc>
        <w:tc>
          <w:tcPr>
            <w:tcW w:w="7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D76553">
        <w:trPr>
          <w:trHeight w:val="1899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Максимально возможная квота добычи, особей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D76553">
        <w:trPr>
          <w:trHeight w:val="169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2023 - 2024 г.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2024 - 2025 г.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D76553">
        <w:trPr>
          <w:trHeight w:val="169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</w:t>
            </w:r>
          </w:p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(старше 1 года)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D76553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с неокостеневшими рогами (пантами)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кабарги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с неокостеневшими рогами (пантами)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кабарги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с неокостеневшими рогами (пантами)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кабарги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Алатырское, участок №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92,292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Кедр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Аликовское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Общедоступные охотничьи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угодья  Батыревского   муниципального округа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28,883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1,56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Батыревское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Янгорчинское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Вурнарское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24,756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Абакасинское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23,547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Канашское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Козловское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Общедоступные охотничьи угодья  Комсомольского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16,988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Комсомольское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Дубовское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Красночетайское, участок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12,663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Марпосадское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Сотниковское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9,028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Моргаушское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24,596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Тораевское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22,069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Порецкое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Алгашинское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Урмарское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45,135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Цивильское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51,725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Ишлейское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22,011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Чукальское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18,298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Шемуршинское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Шумерлинское, участок №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47,959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Сурское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8,949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Ядринское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24,181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Сучковское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19,171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Янтиковское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45,073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D76553" w:rsidRDefault="00D76553">
      <w:pPr>
        <w:spacing w:after="0"/>
        <w:rPr>
          <w:vanish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21"/>
        <w:gridCol w:w="426"/>
        <w:gridCol w:w="1134"/>
        <w:gridCol w:w="476"/>
        <w:gridCol w:w="2324"/>
        <w:gridCol w:w="340"/>
        <w:gridCol w:w="3377"/>
      </w:tblGrid>
      <w:tr w:rsidR="00D76553">
        <w:trPr>
          <w:trHeight w:val="297"/>
        </w:trPr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Минприроды Чувашии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Э.Н.Бедертдинов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20___ г.</w:t>
            </w:r>
          </w:p>
        </w:tc>
      </w:tr>
      <w:tr w:rsidR="00D76553"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 субъекта Российской Федерации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553" w:rsidRDefault="00D76553"/>
    <w:p w:rsidR="00D76553" w:rsidRDefault="00F6017F">
      <w:pPr>
        <w:pageBreakBefore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lastRenderedPageBreak/>
        <w:t xml:space="preserve">Приложение 4 </w:t>
      </w:r>
    </w:p>
    <w:p w:rsidR="00D76553" w:rsidRDefault="00F60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квот добычи охотничьих ресурсов</w:t>
      </w:r>
    </w:p>
    <w:p w:rsidR="00D76553" w:rsidRDefault="00F60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период  с  1  августа  2025 года  до  1  августа  2026 года</w:t>
      </w:r>
    </w:p>
    <w:p w:rsidR="00D76553" w:rsidRDefault="00D765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76553" w:rsidRDefault="00F60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 Российской Федерации </w:t>
      </w:r>
      <w:r>
        <w:rPr>
          <w:rFonts w:ascii="Times New Roman" w:hAnsi="Times New Roman"/>
          <w:sz w:val="24"/>
          <w:szCs w:val="24"/>
          <w:u w:val="single"/>
        </w:rPr>
        <w:t>Чувашская Республика</w:t>
      </w:r>
    </w:p>
    <w:p w:rsidR="00D76553" w:rsidRDefault="00D7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553" w:rsidRDefault="00F6017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Вид охотничьих ресурсов </w:t>
      </w:r>
      <w:r>
        <w:rPr>
          <w:rFonts w:ascii="Times New Roman" w:hAnsi="Times New Roman"/>
          <w:sz w:val="24"/>
          <w:szCs w:val="24"/>
          <w:u w:val="single"/>
        </w:rPr>
        <w:t>Барсук</w:t>
      </w:r>
    </w:p>
    <w:p w:rsidR="00D76553" w:rsidRDefault="00D76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24" w:tblpY="1"/>
        <w:tblW w:w="16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134"/>
        <w:gridCol w:w="567"/>
        <w:gridCol w:w="425"/>
        <w:gridCol w:w="425"/>
        <w:gridCol w:w="851"/>
        <w:gridCol w:w="425"/>
        <w:gridCol w:w="567"/>
        <w:gridCol w:w="425"/>
        <w:gridCol w:w="567"/>
        <w:gridCol w:w="567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426"/>
      </w:tblGrid>
      <w:tr w:rsidR="00D76553"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охотничьего угодья,</w:t>
            </w:r>
          </w:p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га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Итоговая численность охотничьих ресурсо</w:t>
            </w:r>
            <w:r>
              <w:rPr>
                <w:rFonts w:ascii="Times New Roman" w:hAnsi="Times New Roman"/>
                <w:sz w:val="16"/>
                <w:szCs w:val="16"/>
              </w:rPr>
              <w:t>в, от которой устанавливалась квота добычи, особей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угодья)</w:t>
            </w:r>
          </w:p>
        </w:tc>
        <w:tc>
          <w:tcPr>
            <w:tcW w:w="7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Предыдущи</w:t>
            </w:r>
            <w:r>
              <w:rPr>
                <w:rFonts w:ascii="Times New Roman" w:hAnsi="Times New Roman"/>
                <w:sz w:val="16"/>
                <w:szCs w:val="16"/>
              </w:rPr>
              <w:t>й год</w:t>
            </w: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D76553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Максимально возможная квота добычи, особей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D76553">
        <w:trPr>
          <w:trHeight w:val="169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2023 - 2024 г.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2024 - 2025 г.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D76553">
        <w:trPr>
          <w:trHeight w:val="169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</w:t>
            </w:r>
          </w:p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(старше 1 года)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D76553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с неокостеневшими рогами (пантами)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кабарги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с неокостеневшими рогами (пантами)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кабарги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с неокостеневшими рогами (пантами)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кабарги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D76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D7655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Янгорчинское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«Красночетайское»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25,694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Общедоступные охотничьи угодья Порецкого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33,534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6553">
        <w:trPr>
          <w:trHeight w:val="184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«Порецкое»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60,38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D76553" w:rsidRDefault="00D76553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21"/>
        <w:gridCol w:w="426"/>
        <w:gridCol w:w="1134"/>
        <w:gridCol w:w="476"/>
        <w:gridCol w:w="2324"/>
        <w:gridCol w:w="340"/>
        <w:gridCol w:w="3377"/>
      </w:tblGrid>
      <w:tr w:rsidR="00D76553">
        <w:trPr>
          <w:trHeight w:val="297"/>
        </w:trPr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Минприроды Чувашии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Э.Н.Бедертдинов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"____" ___________ 20___ г.</w:t>
            </w:r>
          </w:p>
        </w:tc>
      </w:tr>
      <w:tr w:rsidR="00D76553"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 субъекта Российской Федерации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F6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553" w:rsidRDefault="00D7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553" w:rsidRDefault="00D76553"/>
    <w:sectPr w:rsidR="00D76553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7F" w:rsidRDefault="00F6017F">
      <w:pPr>
        <w:spacing w:after="0" w:line="240" w:lineRule="auto"/>
      </w:pPr>
      <w:r>
        <w:separator/>
      </w:r>
    </w:p>
  </w:endnote>
  <w:endnote w:type="continuationSeparator" w:id="0">
    <w:p w:rsidR="00F6017F" w:rsidRDefault="00F6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7F" w:rsidRDefault="00F6017F">
      <w:pPr>
        <w:spacing w:after="0" w:line="240" w:lineRule="auto"/>
      </w:pPr>
      <w:r>
        <w:separator/>
      </w:r>
    </w:p>
  </w:footnote>
  <w:footnote w:type="continuationSeparator" w:id="0">
    <w:p w:rsidR="00F6017F" w:rsidRDefault="00F6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53" w:rsidRDefault="00F6017F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AF595B">
      <w:rPr>
        <w:rFonts w:ascii="Times New Roman" w:hAnsi="Times New Roman"/>
        <w:noProof/>
        <w:sz w:val="24"/>
        <w:szCs w:val="24"/>
      </w:rPr>
      <w:t>23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4028"/>
    <w:multiLevelType w:val="hybridMultilevel"/>
    <w:tmpl w:val="1506CCA0"/>
    <w:lvl w:ilvl="0" w:tplc="B1E41EC8">
      <w:start w:val="1"/>
      <w:numFmt w:val="decimal"/>
      <w:lvlText w:val="%1."/>
      <w:lvlJc w:val="left"/>
      <w:pPr>
        <w:ind w:left="900" w:hanging="360"/>
      </w:pPr>
    </w:lvl>
    <w:lvl w:ilvl="1" w:tplc="2D78C86A">
      <w:start w:val="1"/>
      <w:numFmt w:val="lowerLetter"/>
      <w:lvlText w:val="%2."/>
      <w:lvlJc w:val="left"/>
      <w:pPr>
        <w:ind w:left="1620" w:hanging="360"/>
      </w:pPr>
    </w:lvl>
    <w:lvl w:ilvl="2" w:tplc="2284820C">
      <w:start w:val="1"/>
      <w:numFmt w:val="lowerRoman"/>
      <w:lvlText w:val="%3."/>
      <w:lvlJc w:val="right"/>
      <w:pPr>
        <w:ind w:left="2340" w:hanging="180"/>
      </w:pPr>
    </w:lvl>
    <w:lvl w:ilvl="3" w:tplc="6C043726">
      <w:start w:val="1"/>
      <w:numFmt w:val="decimal"/>
      <w:lvlText w:val="%4."/>
      <w:lvlJc w:val="left"/>
      <w:pPr>
        <w:ind w:left="3060" w:hanging="360"/>
      </w:pPr>
    </w:lvl>
    <w:lvl w:ilvl="4" w:tplc="FF900044">
      <w:start w:val="1"/>
      <w:numFmt w:val="lowerLetter"/>
      <w:lvlText w:val="%5."/>
      <w:lvlJc w:val="left"/>
      <w:pPr>
        <w:ind w:left="3780" w:hanging="360"/>
      </w:pPr>
    </w:lvl>
    <w:lvl w:ilvl="5" w:tplc="B240CE30">
      <w:start w:val="1"/>
      <w:numFmt w:val="lowerRoman"/>
      <w:lvlText w:val="%6."/>
      <w:lvlJc w:val="right"/>
      <w:pPr>
        <w:ind w:left="4500" w:hanging="180"/>
      </w:pPr>
    </w:lvl>
    <w:lvl w:ilvl="6" w:tplc="8826BD6E">
      <w:start w:val="1"/>
      <w:numFmt w:val="decimal"/>
      <w:lvlText w:val="%7."/>
      <w:lvlJc w:val="left"/>
      <w:pPr>
        <w:ind w:left="5220" w:hanging="360"/>
      </w:pPr>
    </w:lvl>
    <w:lvl w:ilvl="7" w:tplc="9FA03D6C">
      <w:start w:val="1"/>
      <w:numFmt w:val="lowerLetter"/>
      <w:lvlText w:val="%8."/>
      <w:lvlJc w:val="left"/>
      <w:pPr>
        <w:ind w:left="5940" w:hanging="360"/>
      </w:pPr>
    </w:lvl>
    <w:lvl w:ilvl="8" w:tplc="A9DC0D1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53"/>
    <w:rsid w:val="00AF595B"/>
    <w:rsid w:val="00D76553"/>
    <w:rsid w:val="00F6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9345"/>
      </w:tabs>
      <w:spacing w:after="100" w:line="240" w:lineRule="auto"/>
      <w:ind w:firstLine="180"/>
      <w:jc w:val="both"/>
    </w:pPr>
    <w:rPr>
      <w:rFonts w:ascii="Times New Roman" w:hAnsi="Times New Roman"/>
      <w:sz w:val="28"/>
    </w:rPr>
  </w:style>
  <w:style w:type="paragraph" w:styleId="23">
    <w:name w:val="toc 2"/>
    <w:basedOn w:val="a"/>
    <w:next w:val="a"/>
    <w:uiPriority w:val="39"/>
    <w:unhideWhenUsed/>
    <w:pPr>
      <w:tabs>
        <w:tab w:val="right" w:leader="dot" w:pos="9345"/>
      </w:tabs>
      <w:spacing w:after="100" w:line="240" w:lineRule="auto"/>
      <w:jc w:val="both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qFormat/>
    <w:pPr>
      <w:keepLines/>
      <w:spacing w:before="480" w:after="0"/>
      <w:outlineLvl w:val="9"/>
    </w:pPr>
    <w:rPr>
      <w:color w:val="365F91"/>
      <w:sz w:val="28"/>
      <w:szCs w:val="28"/>
      <w:lang w:eastAsia="ru-RU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c">
    <w:name w:val="Body Text Indent"/>
    <w:basedOn w:val="a"/>
    <w:link w:val="afd"/>
    <w:unhideWhenUsed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d">
    <w:name w:val="Основной текст с отступом Знак"/>
    <w:link w:val="a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fe">
    <w:name w:val="Strong"/>
    <w:uiPriority w:val="22"/>
    <w:qFormat/>
    <w:rPr>
      <w:b/>
      <w:bCs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Body Text"/>
    <w:basedOn w:val="a"/>
    <w:link w:val="aff1"/>
    <w:pPr>
      <w:widowControl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0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9345"/>
      </w:tabs>
      <w:spacing w:after="100" w:line="240" w:lineRule="auto"/>
      <w:ind w:firstLine="180"/>
      <w:jc w:val="both"/>
    </w:pPr>
    <w:rPr>
      <w:rFonts w:ascii="Times New Roman" w:hAnsi="Times New Roman"/>
      <w:sz w:val="28"/>
    </w:rPr>
  </w:style>
  <w:style w:type="paragraph" w:styleId="23">
    <w:name w:val="toc 2"/>
    <w:basedOn w:val="a"/>
    <w:next w:val="a"/>
    <w:uiPriority w:val="39"/>
    <w:unhideWhenUsed/>
    <w:pPr>
      <w:tabs>
        <w:tab w:val="right" w:leader="dot" w:pos="9345"/>
      </w:tabs>
      <w:spacing w:after="100" w:line="240" w:lineRule="auto"/>
      <w:jc w:val="both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qFormat/>
    <w:pPr>
      <w:keepLines/>
      <w:spacing w:before="480" w:after="0"/>
      <w:outlineLvl w:val="9"/>
    </w:pPr>
    <w:rPr>
      <w:color w:val="365F91"/>
      <w:sz w:val="28"/>
      <w:szCs w:val="28"/>
      <w:lang w:eastAsia="ru-RU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c">
    <w:name w:val="Body Text Indent"/>
    <w:basedOn w:val="a"/>
    <w:link w:val="afd"/>
    <w:unhideWhenUsed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d">
    <w:name w:val="Основной текст с отступом Знак"/>
    <w:link w:val="a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fe">
    <w:name w:val="Strong"/>
    <w:uiPriority w:val="22"/>
    <w:qFormat/>
    <w:rPr>
      <w:b/>
      <w:bCs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Body Text"/>
    <w:basedOn w:val="a"/>
    <w:link w:val="aff1"/>
    <w:pPr>
      <w:widowControl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0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a@cap.ru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5195DCE186696056ECA955BE346DB391D902D86A76153479968FE309007FBE1259073D9BD3D3D55DAC31E39EC6270E8506EAA39A0CB7F9u6T3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5195DCE186696056ECA955BE346DB391D902D86A76153479968FE309007FBE1259073D9BD3D3D55DAC31E39EC6270E8506EAA39A0CB7F9u6T3H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7453</Words>
  <Characters>42485</Characters>
  <Application>Microsoft Office Word</Application>
  <DocSecurity>0</DocSecurity>
  <Lines>354</Lines>
  <Paragraphs>99</Paragraphs>
  <ScaleCrop>false</ScaleCrop>
  <Company/>
  <LinksUpToDate>false</LinksUpToDate>
  <CharactersWithSpaces>49839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служба Чувашской Республики по охране, контролю и регулированию использования объектов животного мира и среды их обитания</dc:title>
  <dc:creator>user</dc:creator>
  <cp:lastModifiedBy>Иванова Ольга Михайловна</cp:lastModifiedBy>
  <cp:revision>2</cp:revision>
  <dcterms:created xsi:type="dcterms:W3CDTF">2025-04-10T11:21:00Z</dcterms:created>
  <dcterms:modified xsi:type="dcterms:W3CDTF">2025-04-10T11:21:00Z</dcterms:modified>
  <cp:version>917504</cp:version>
</cp:coreProperties>
</file>