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70A" w:rsidRDefault="00D5577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9E070A" w:rsidRDefault="00D557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решения Чебоксарского городского Собрания депутатов </w:t>
      </w:r>
    </w:p>
    <w:p w:rsidR="009E070A" w:rsidRDefault="00D557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законодательной инициативе Чебоксарского городского Собрания депутатов по внесению в Государственный Совет Чувашской Республики проекта закона Чувашской Республики «О внесении изменений в Закон Чувашской Республики </w:t>
      </w:r>
    </w:p>
    <w:p w:rsidR="009E070A" w:rsidRDefault="00D557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административных правонарушениях </w:t>
      </w:r>
      <w:r>
        <w:rPr>
          <w:sz w:val="28"/>
          <w:szCs w:val="28"/>
        </w:rPr>
        <w:t xml:space="preserve">в Чувашской Республике» </w:t>
      </w:r>
    </w:p>
    <w:p w:rsidR="009E070A" w:rsidRDefault="009E070A">
      <w:pPr>
        <w:ind w:firstLine="709"/>
        <w:jc w:val="both"/>
        <w:rPr>
          <w:sz w:val="28"/>
          <w:szCs w:val="28"/>
        </w:rPr>
      </w:pPr>
    </w:p>
    <w:p w:rsidR="009E070A" w:rsidRDefault="00D55776">
      <w:pPr>
        <w:spacing w:line="27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Настоящий проект подготовлен для внесения проекта закона в Государственный Совет Чувашской Республики в порядке законодательной инициативы Чебоксарским городским Собранием депутатов на основании ст. 85 Конституции Чувашс</w:t>
      </w:r>
      <w:r>
        <w:rPr>
          <w:sz w:val="28"/>
          <w:szCs w:val="28"/>
        </w:rPr>
        <w:t>кой Республики и ст. 31 Устава городского округа город Чебоксары,</w:t>
      </w:r>
      <w:r>
        <w:rPr>
          <w:rFonts w:ascii="Times New Roman CYR" w:hAnsi="Times New Roman CYR" w:cs="Times New Roman CYR"/>
          <w:sz w:val="28"/>
          <w:szCs w:val="28"/>
        </w:rPr>
        <w:t xml:space="preserve"> принятого решением Чебоксарского городского Собрания депутатов от 30 ноября 2005 года № 40 (далее – Устава города Чебоксары)</w:t>
      </w:r>
      <w:r>
        <w:rPr>
          <w:sz w:val="28"/>
          <w:szCs w:val="28"/>
        </w:rPr>
        <w:t>.</w:t>
      </w:r>
    </w:p>
    <w:p w:rsidR="009E070A" w:rsidRDefault="00D55776">
      <w:pPr>
        <w:spacing w:line="276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проект разработан в соответствии с п. 5, п. 25 ч. 1 ст</w:t>
      </w:r>
      <w:r>
        <w:rPr>
          <w:sz w:val="28"/>
          <w:szCs w:val="28"/>
        </w:rPr>
        <w:t>. 16 Федерального закона от 06.10.2003 № 131–ФЗ «Об общих принципах организации местного самоуправления в Российской Федерации» в целях обеспечения надлежащего благоустройства территории муниципальных образований, исполнения требований установленных правил</w:t>
      </w:r>
      <w:r>
        <w:rPr>
          <w:sz w:val="28"/>
          <w:szCs w:val="28"/>
        </w:rPr>
        <w:t>ами благоустройства территорий муниципальных образований Чувашской Республики по недопущению выноса грунта и грязи на автомобильные дороги общего пользования местного значения расположенных на территории муниципальных образований Чувашской Республики колес</w:t>
      </w:r>
      <w:r>
        <w:rPr>
          <w:sz w:val="28"/>
          <w:szCs w:val="28"/>
        </w:rPr>
        <w:t>ами автотранспорта со строительных площадок, а также по перевозке грунта, мусора, сыпучих строительных материалов, легкой тары, спила деревьев без покрытия брезентом или другим материалом, исключающим загрязнение дорог, а также транспортировки строительных</w:t>
      </w:r>
      <w:r>
        <w:rPr>
          <w:sz w:val="28"/>
          <w:szCs w:val="28"/>
        </w:rPr>
        <w:t xml:space="preserve"> смесей и растворов (в том числе цементно-песчаного раствора, известковых, бетонных смесей) без принятия мер, исключающих возможность пролития их на дорогу, тротуар, обочину или прилегающую к дороге полосу газона, если ответственность за данное правонаруше</w:t>
      </w:r>
      <w:r>
        <w:rPr>
          <w:sz w:val="28"/>
          <w:szCs w:val="28"/>
        </w:rPr>
        <w:t>ние не предусмотрена федеральным законодательством.</w:t>
      </w:r>
    </w:p>
    <w:p w:rsidR="009E070A" w:rsidRDefault="00D55776">
      <w:pPr>
        <w:spacing w:line="276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в настоящее время на территории города Чебоксары Управлением архитектуры и градостроительства администрации города Чебоксары выдано 68 разрешений на строительство (действует 38 строительных площадок)</w:t>
      </w:r>
      <w:r>
        <w:rPr>
          <w:sz w:val="28"/>
          <w:szCs w:val="28"/>
        </w:rPr>
        <w:t>. В целях контроля соблюдения требований ст. 17.13.6. Правил благоустройства территории города Чебоксары, утверждённых решением Чебоксарского городского Собрания депутатов от 30.05.2023 № 1211, которыми</w:t>
      </w:r>
      <w:r>
        <w:t xml:space="preserve"> </w:t>
      </w:r>
      <w:r>
        <w:rPr>
          <w:sz w:val="28"/>
          <w:szCs w:val="28"/>
        </w:rPr>
        <w:t>не допускается: вынос грунта и грязи на дороги колеса</w:t>
      </w:r>
      <w:r>
        <w:rPr>
          <w:sz w:val="28"/>
          <w:szCs w:val="28"/>
        </w:rPr>
        <w:t xml:space="preserve">ми автотранспорта со строительных площадок, перевозка грунта, мусора, сыпучих строительных материалов, легкой тары, спила деревьев без покрытия брезентом или другим материалом, исключающим загрязнение дорог, а также транспортирование строительных смесей и </w:t>
      </w:r>
      <w:r>
        <w:rPr>
          <w:sz w:val="28"/>
          <w:szCs w:val="28"/>
        </w:rPr>
        <w:t xml:space="preserve">растворов (в том числе цементно-песчаных растворов, известковых, бетонных смесей) без принятия мер, исключающих возможность пролития их на дорогу, тротуар, обочину или </w:t>
      </w:r>
      <w:r>
        <w:rPr>
          <w:sz w:val="28"/>
          <w:szCs w:val="28"/>
        </w:rPr>
        <w:lastRenderedPageBreak/>
        <w:t>прилегающую к дороге полосу газона сотрудниками Управления архитектуры и градостроительс</w:t>
      </w:r>
      <w:r>
        <w:rPr>
          <w:sz w:val="28"/>
          <w:szCs w:val="28"/>
        </w:rPr>
        <w:t>тва администрации города Чебоксары согласно графику объездов строительных площадок и составленному заданию, осуществляется выезд на строительные площадки города. На нарушителей норм ст. 12.33 КоАП РФ сотрудниками ГИБДД было составлено: в 2023 году – 2358 п</w:t>
      </w:r>
      <w:r>
        <w:rPr>
          <w:sz w:val="28"/>
          <w:szCs w:val="28"/>
        </w:rPr>
        <w:t xml:space="preserve">ротоколов об административном правонарушении, в 2024 году – 2447 протоколов об административном правонарушении, по состоянию на 18.11.2025 год – 2560  протоколов об административном правонарушении.  </w:t>
      </w:r>
    </w:p>
    <w:p w:rsidR="009E070A" w:rsidRDefault="00D55776">
      <w:pPr>
        <w:spacing w:line="276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Однако, при нарушениях субъектами административного зако</w:t>
      </w:r>
      <w:r>
        <w:rPr>
          <w:sz w:val="28"/>
          <w:szCs w:val="28"/>
        </w:rPr>
        <w:t>нодательства обязательных требований, возложенных нормативными правовыми актами органа местного самоуправления, для привлечения к административной ответственности отсутствуют нормы в</w:t>
      </w:r>
      <w:r>
        <w:t xml:space="preserve"> </w:t>
      </w:r>
      <w:r>
        <w:rPr>
          <w:sz w:val="28"/>
          <w:szCs w:val="28"/>
        </w:rPr>
        <w:t>Законе Чувашской Республики «Об административных правонарушениях в Чувашс</w:t>
      </w:r>
      <w:r>
        <w:rPr>
          <w:sz w:val="28"/>
          <w:szCs w:val="28"/>
        </w:rPr>
        <w:t>кой Республике» (далее – Закон).</w:t>
      </w:r>
    </w:p>
    <w:p w:rsidR="009E070A" w:rsidRDefault="00D55776">
      <w:pPr>
        <w:spacing w:line="276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Проектом Закона предлагается установить административную ответственность при несоблюдении гражданами, должностными лицами, юридическими лицами обязательных требований, установленных правилами благоустройства, нормативными </w:t>
      </w:r>
      <w:r>
        <w:rPr>
          <w:sz w:val="28"/>
          <w:szCs w:val="28"/>
        </w:rPr>
        <w:t>правовыми актами органа местного самоуправления не допускающих загрязнения городских автомобильных магистралей, связанного со строительной деятельностью застройщиков муниципальных образований Чувашской Республики (ст. 10.11. Закона). Мерами административно</w:t>
      </w:r>
      <w:r>
        <w:rPr>
          <w:sz w:val="28"/>
          <w:szCs w:val="28"/>
        </w:rPr>
        <w:t>й ответственности предусматривается предупреждение или наложение административного штрафа. Также предусматривается наложение штрафа в повышенном размере за повторное совершение указанного административного правонарушения.</w:t>
      </w:r>
    </w:p>
    <w:p w:rsidR="009E070A" w:rsidRDefault="00D55776">
      <w:pPr>
        <w:spacing w:line="276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пункта «г» части 2 ст</w:t>
      </w:r>
      <w:r>
        <w:rPr>
          <w:sz w:val="28"/>
          <w:szCs w:val="28"/>
        </w:rPr>
        <w:t>атьи 33 Главы VI. «Должностные лица, уполномоченные составлять протоколы об административных правонарушениях» дополнен полномочиями, наделяющими должностных лиц органов местного самоуправления, являющихся членами административных комиссий, составлять прото</w:t>
      </w:r>
      <w:r>
        <w:rPr>
          <w:sz w:val="28"/>
          <w:szCs w:val="28"/>
        </w:rPr>
        <w:t>колы об административных правонарушениях, предусмотренных ст. 10.11. Закона.</w:t>
      </w:r>
    </w:p>
    <w:p w:rsidR="009E070A" w:rsidRDefault="00D55776">
      <w:pPr>
        <w:spacing w:line="276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абзац первый части 2 статьи 34 Главы VII. «Судьи, органы, должностные лица, уполномоченные рассматривать дела об административных правонарушениях» дополнен полномочиями, над</w:t>
      </w:r>
      <w:r>
        <w:rPr>
          <w:sz w:val="28"/>
          <w:szCs w:val="28"/>
        </w:rPr>
        <w:t>еляющими административные комиссии, рассматривать дела об административных правонарушениях, предусмотренных ст. 10.11. Закона.</w:t>
      </w:r>
    </w:p>
    <w:p w:rsidR="009E070A" w:rsidRDefault="009E070A">
      <w:pPr>
        <w:spacing w:line="276" w:lineRule="auto"/>
        <w:ind w:right="-5"/>
        <w:jc w:val="both"/>
        <w:rPr>
          <w:sz w:val="28"/>
          <w:szCs w:val="28"/>
        </w:rPr>
      </w:pPr>
    </w:p>
    <w:p w:rsidR="009E070A" w:rsidRDefault="009E070A">
      <w:pPr>
        <w:jc w:val="right"/>
        <w:rPr>
          <w:sz w:val="28"/>
          <w:szCs w:val="28"/>
        </w:rPr>
      </w:pPr>
      <w:bookmarkStart w:id="0" w:name="_GoBack"/>
      <w:bookmarkEnd w:id="0"/>
    </w:p>
    <w:sectPr w:rsidR="009E070A">
      <w:headerReference w:type="default" r:id="rId8"/>
      <w:pgSz w:w="11906" w:h="16838"/>
      <w:pgMar w:top="993" w:right="566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70A" w:rsidRDefault="00D55776">
      <w:r>
        <w:separator/>
      </w:r>
    </w:p>
  </w:endnote>
  <w:endnote w:type="continuationSeparator" w:id="0">
    <w:p w:rsidR="009E070A" w:rsidRDefault="00D55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70A" w:rsidRDefault="00D55776">
      <w:r>
        <w:separator/>
      </w:r>
    </w:p>
  </w:footnote>
  <w:footnote w:type="continuationSeparator" w:id="0">
    <w:p w:rsidR="009E070A" w:rsidRDefault="00D55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0800461"/>
      <w:docPartObj>
        <w:docPartGallery w:val="Page Numbers (Top of Page)"/>
        <w:docPartUnique/>
      </w:docPartObj>
    </w:sdtPr>
    <w:sdtEndPr>
      <w:rPr>
        <w:b/>
        <w:sz w:val="16"/>
        <w:szCs w:val="16"/>
      </w:rPr>
    </w:sdtEndPr>
    <w:sdtContent>
      <w:p w:rsidR="009E070A" w:rsidRDefault="00D55776">
        <w:pPr>
          <w:pStyle w:val="a3"/>
          <w:jc w:val="center"/>
          <w:rPr>
            <w:b/>
            <w:sz w:val="16"/>
            <w:szCs w:val="16"/>
          </w:rPr>
        </w:pPr>
        <w:r>
          <w:rPr>
            <w:b/>
            <w:sz w:val="16"/>
            <w:szCs w:val="16"/>
          </w:rPr>
          <w:fldChar w:fldCharType="begin"/>
        </w:r>
        <w:r>
          <w:rPr>
            <w:b/>
            <w:sz w:val="16"/>
            <w:szCs w:val="16"/>
          </w:rPr>
          <w:instrText>PAGE   \* MERGEFORMAT</w:instrText>
        </w:r>
        <w:r>
          <w:rPr>
            <w:b/>
            <w:sz w:val="16"/>
            <w:szCs w:val="16"/>
          </w:rPr>
          <w:fldChar w:fldCharType="separate"/>
        </w:r>
        <w:r>
          <w:rPr>
            <w:b/>
            <w:noProof/>
            <w:sz w:val="16"/>
            <w:szCs w:val="16"/>
          </w:rPr>
          <w:t>2</w:t>
        </w:r>
        <w:r>
          <w:rPr>
            <w:b/>
            <w:sz w:val="16"/>
            <w:szCs w:val="16"/>
          </w:rPr>
          <w:fldChar w:fldCharType="end"/>
        </w:r>
      </w:p>
    </w:sdtContent>
  </w:sdt>
  <w:p w:rsidR="009E070A" w:rsidRDefault="009E070A">
    <w:pPr>
      <w:pStyle w:val="a3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B66CB8"/>
    <w:multiLevelType w:val="hybridMultilevel"/>
    <w:tmpl w:val="DD94066E"/>
    <w:lvl w:ilvl="0" w:tplc="358216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70A"/>
    <w:rsid w:val="009E070A"/>
    <w:rsid w:val="00D5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24684D-AB6C-4762-B643-A10204FA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ody Text"/>
    <w:basedOn w:val="a"/>
    <w:link w:val="a8"/>
    <w:semiHidden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pPr>
      <w:ind w:right="457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pPr>
      <w:widowControl w:val="0"/>
      <w:shd w:val="clear" w:color="auto" w:fill="FFFFFF"/>
      <w:spacing w:before="300" w:line="274" w:lineRule="exact"/>
      <w:ind w:hanging="680"/>
      <w:jc w:val="both"/>
    </w:pPr>
    <w:rPr>
      <w:rFonts w:eastAsiaTheme="minorHAnsi" w:cstheme="minorBidi"/>
      <w:sz w:val="23"/>
      <w:szCs w:val="23"/>
      <w:lang w:eastAsia="en-US"/>
    </w:rPr>
  </w:style>
  <w:style w:type="paragraph" w:styleId="ab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 Indent"/>
    <w:basedOn w:val="a"/>
    <w:link w:val="af"/>
    <w:uiPriority w:val="99"/>
    <w:unhideWhenUsed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7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7A8D0-5D0F-4535-A3A7-648FA1E9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adp3</dc:creator>
  <cp:lastModifiedBy>gcheb_chgsd3</cp:lastModifiedBy>
  <cp:revision>8</cp:revision>
  <cp:lastPrinted>2026-03-10T15:19:00Z</cp:lastPrinted>
  <dcterms:created xsi:type="dcterms:W3CDTF">2025-12-11T08:31:00Z</dcterms:created>
  <dcterms:modified xsi:type="dcterms:W3CDTF">2026-03-23T08:34:00Z</dcterms:modified>
</cp:coreProperties>
</file>