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5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Информация об изменениях, внесенных в нормативные правовые акты, регулирующие осуществление государственного контроля (надзора) </w:t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</w:p>
    <w:p>
      <w:pPr>
        <w:pStyle w:val="835"/>
        <w:jc w:val="center"/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pPr>
      <w:r>
        <w:rPr>
          <w:rFonts w:ascii="Times New Roman" w:hAnsi="Times New Roman" w:eastAsia="Times New Roman" w:cs="Times New Roman"/>
          <w:b/>
          <w:sz w:val="22"/>
          <w:szCs w:val="22"/>
        </w:rPr>
        <w:t xml:space="preserve">в сфере 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  <w:t xml:space="preserve">туристской индустрии</w:t>
      </w:r>
      <w:r>
        <w:rPr>
          <w:rFonts w:ascii="Times New Roman" w:hAnsi="Times New Roman" w:eastAsia="Times New Roman" w:cs="Times New Roman"/>
          <w:b/>
          <w:bCs/>
          <w:sz w:val="22"/>
          <w:szCs w:val="22"/>
        </w:rPr>
      </w:r>
      <w:r>
        <w:rPr>
          <w:rFonts w:ascii="Times New Roman" w:hAnsi="Times New Roman" w:eastAsia="Times New Roman" w:cs="Times New Roman"/>
          <w:b/>
          <w:bCs/>
          <w:sz w:val="22"/>
          <w:szCs w:val="22"/>
          <w14:ligatures w14:val="none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18"/>
          <w:szCs w:val="18"/>
        </w:rPr>
      </w:pP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  <w:r>
        <w:rPr>
          <w:rFonts w:ascii="Times New Roman" w:hAnsi="Times New Roman" w:eastAsia="Times New Roman" w:cs="Times New Roman"/>
          <w:sz w:val="18"/>
          <w:szCs w:val="18"/>
        </w:rPr>
      </w:r>
    </w:p>
    <w:tbl>
      <w:tblPr>
        <w:tblStyle w:val="834"/>
        <w:tblW w:w="5010" w:type="pct"/>
        <w:tblLayout w:type="fixed"/>
        <w:tblLook w:val="04A0" w:firstRow="1" w:lastRow="0" w:firstColumn="1" w:lastColumn="0" w:noHBand="0" w:noVBand="1"/>
      </w:tblPr>
      <w:tblGrid>
        <w:gridCol w:w="582"/>
        <w:gridCol w:w="3636"/>
        <w:gridCol w:w="4252"/>
        <w:gridCol w:w="3685"/>
        <w:gridCol w:w="2659"/>
      </w:tblGrid>
      <w:tr>
        <w:tblPrEx/>
        <w:trPr>
          <w:trHeight w:val="629"/>
        </w:trPr>
        <w:tc>
          <w:tcPr>
            <w:tcW w:w="58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3636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Наименование нормативного правового  акта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42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Наименование нормативного правового акта, в который вносят изменения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Изменения, внесенные в  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нормативный правовой акт</w:t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26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  <w:t xml:space="preserve">Сроки и порядок вступления в действие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</w:rPr>
            </w:r>
          </w:p>
        </w:tc>
      </w:tr>
      <w:tr>
        <w:tblPrEx/>
        <w:trPr>
          <w:trHeight w:val="404"/>
        </w:trPr>
        <w:tc>
          <w:tcPr>
            <w:tcW w:w="582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3636" w:type="dxa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Федеральный закон от 29 декабря 2025 года №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567-ФЗ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«О внесении изменений в Федеральный закон «О государственном контроле (надзоре) и муниципальном контроле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4252" w:type="dxa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hyperlink r:id="rId8" w:tooltip="Федеральный закон от 29.12.2012 № 273-ФЗ (ред. от 23.06.2024) 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Федеральный закон от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 </w:t>
              </w:r>
            </w:hyperlink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24 ноября 1996 года               № 132-ФЗ «Об основах туристской деятельности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Обязательный профилактический визит контролирующего органа предусмотрен в отношении средств размещения, включенных в единый реестр классифицированных средств размещения. О профилактическом визите уведомят за 24 часа.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 отношении средств размещения не включенных в реес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тр могут проводится внеплановые контрольно-надзорные мероприятия.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highlight w:val="none"/>
                <w:lang w:eastAsia="ru-RU"/>
                <w14:ligatures w14:val="none"/>
              </w:rPr>
            </w:r>
          </w:p>
        </w:tc>
        <w:tc>
          <w:tcPr>
            <w:tcBorders>
              <w:top w:val="single" w:color="auto" w:sz="4" w:space="0"/>
              <w:bottom w:val="single" w:color="auto" w:sz="4" w:space="0"/>
            </w:tcBorders>
            <w:tcW w:w="2659" w:type="dxa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Изменения вступают в силу              с 2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9 декабря 2025 года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</w:tr>
      <w:tr>
        <w:tblPrEx/>
        <w:trPr>
          <w:trHeight w:val="1662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2.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36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Федеральный закон от 29 декабря 2025 года № 553-ФЗ «О внесении изменений в Федеральный закон «Об основах туристской деятельности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4252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hyperlink r:id="rId9" w:tooltip="Федеральный закон от 29.12.2012 № 273-ФЗ (ред. от 23.06.2024) 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Федеральный закон от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 </w:t>
              </w:r>
            </w:hyperlink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24 ноября 1996 года               № 132-ФЗ «Об основах туристской деятельности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ind w:left="0" w:right="0" w:firstLine="0"/>
              <w:jc w:val="both"/>
              <w:spacing w:before="0" w:after="0" w:line="288" w:lineRule="atLeast"/>
              <w:rPr>
                <w:rFonts w:ascii="Times New Roman" w:hAnsi="Times New Roman" w:eastAsia="Times New Roman" w:cs="Times New Roman"/>
                <w:sz w:val="18"/>
                <w:szCs w:val="18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Определены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особенности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формирования туристского продукта.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Туристский продукт в сфере внутреннего туризма и въездного туризма считается сформированным туроператором при условии, если в состав такого туристского продукта включены услуга по размещению в средстве размещения на территории Российской Федерации и хотя б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ы одна дополнительная услуга: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перевозка туриста любым видом транспорта;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услуги экскурсовода (гида);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услуги гида-переводчика;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услуги инструктора-проводника.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Изменения вступают в силу        с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 марта 2026 года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r/>
            <w:r/>
          </w:p>
        </w:tc>
      </w:tr>
      <w:tr>
        <w:tblPrEx/>
        <w:trPr>
          <w:trHeight w:val="1946"/>
        </w:trPr>
        <w:tc>
          <w:tcPr>
            <w:tcW w:w="582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 xml:space="preserve">3.</w:t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36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Федераль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ный закон от 29 декабря 2025 года № 552-ФЗ «О внесении изменений в статьи 4 и 19.5 Федерального закона «Об основах туристской деятельности в Российской Федерации» и статьи 15 и 15.1 Федерального закона «О социальной защите инвалидов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4252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hyperlink r:id="rId10" w:tooltip="Федеральный закон от 29.12.2012 № 273-ФЗ (ред. от 23.06.2024) " w:history="1"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Федеральный закон от</w:t>
              </w:r>
              <w:r>
                <w:rPr>
                  <w:rFonts w:ascii="Times New Roman" w:hAnsi="Times New Roman" w:eastAsia="Times New Roman" w:cs="Times New Roman"/>
                  <w:sz w:val="20"/>
                  <w:szCs w:val="20"/>
                  <w:lang w:eastAsia="ru-RU"/>
                </w:rPr>
                <w:t xml:space="preserve"> </w:t>
              </w:r>
            </w:hyperlink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24 ноября 1996 года               № 132-ФЗ «Об основах туристской деятельности в Российской Федерации»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3685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Региональный государственный контроль (надзор) в сфере туристской индустрии дополняется проверкой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соблюдения порядка обеспечения условий доступности для инвалидов объектов туристской индустрии, подлежащих классификации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bottom w:val="single" w:color="000000" w:sz="4" w:space="0"/>
            </w:tcBorders>
            <w:tcW w:w="2659" w:type="dxa"/>
            <w:vMerge w:val="restart"/>
            <w:textDirection w:val="lrTb"/>
            <w:noWrap w:val="false"/>
          </w:tcPr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Изменения вступают в силу        с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 сентября 2026 года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14:ligatures w14:val="none"/>
              </w:rPr>
            </w:r>
          </w:p>
          <w:p>
            <w:pPr>
              <w:pStyle w:val="835"/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18"/>
                <w:szCs w:val="18"/>
                <w:lang w:eastAsia="ru-RU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709" w:right="1134" w:bottom="68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0"/>
    <w:link w:val="829"/>
    <w:uiPriority w:val="9"/>
    <w:rPr>
      <w:rFonts w:ascii="Arial" w:hAnsi="Arial" w:eastAsia="Arial" w:cs="Arial"/>
      <w:sz w:val="40"/>
      <w:szCs w:val="40"/>
    </w:rPr>
  </w:style>
  <w:style w:type="paragraph" w:styleId="655">
    <w:name w:val="Heading 2"/>
    <w:basedOn w:val="828"/>
    <w:next w:val="828"/>
    <w:link w:val="6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0"/>
    <w:link w:val="655"/>
    <w:uiPriority w:val="9"/>
    <w:rPr>
      <w:rFonts w:ascii="Arial" w:hAnsi="Arial" w:eastAsia="Arial" w:cs="Arial"/>
      <w:sz w:val="34"/>
    </w:rPr>
  </w:style>
  <w:style w:type="paragraph" w:styleId="657">
    <w:name w:val="Heading 3"/>
    <w:basedOn w:val="828"/>
    <w:next w:val="828"/>
    <w:link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0"/>
    <w:link w:val="657"/>
    <w:uiPriority w:val="9"/>
    <w:rPr>
      <w:rFonts w:ascii="Arial" w:hAnsi="Arial" w:eastAsia="Arial" w:cs="Arial"/>
      <w:sz w:val="30"/>
      <w:szCs w:val="30"/>
    </w:rPr>
  </w:style>
  <w:style w:type="paragraph" w:styleId="659">
    <w:name w:val="Heading 4"/>
    <w:basedOn w:val="828"/>
    <w:next w:val="828"/>
    <w:link w:val="6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0"/>
    <w:link w:val="659"/>
    <w:uiPriority w:val="9"/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28"/>
    <w:next w:val="828"/>
    <w:link w:val="6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0"/>
    <w:link w:val="661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28"/>
    <w:next w:val="828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0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28"/>
    <w:next w:val="828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0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28"/>
    <w:next w:val="828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0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28"/>
    <w:next w:val="828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0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28"/>
    <w:uiPriority w:val="34"/>
    <w:qFormat/>
    <w:pPr>
      <w:contextualSpacing/>
      <w:ind w:left="720"/>
    </w:pPr>
  </w:style>
  <w:style w:type="paragraph" w:styleId="672">
    <w:name w:val="Title"/>
    <w:basedOn w:val="828"/>
    <w:next w:val="828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basedOn w:val="830"/>
    <w:link w:val="672"/>
    <w:uiPriority w:val="10"/>
    <w:rPr>
      <w:sz w:val="48"/>
      <w:szCs w:val="48"/>
    </w:rPr>
  </w:style>
  <w:style w:type="paragraph" w:styleId="674">
    <w:name w:val="Subtitle"/>
    <w:basedOn w:val="828"/>
    <w:next w:val="828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basedOn w:val="830"/>
    <w:link w:val="674"/>
    <w:uiPriority w:val="11"/>
    <w:rPr>
      <w:sz w:val="24"/>
      <w:szCs w:val="24"/>
    </w:rPr>
  </w:style>
  <w:style w:type="paragraph" w:styleId="676">
    <w:name w:val="Quote"/>
    <w:basedOn w:val="828"/>
    <w:next w:val="828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28"/>
    <w:next w:val="828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28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0"/>
    <w:link w:val="680"/>
    <w:uiPriority w:val="99"/>
  </w:style>
  <w:style w:type="paragraph" w:styleId="682">
    <w:name w:val="Footer"/>
    <w:basedOn w:val="828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0"/>
    <w:link w:val="682"/>
    <w:uiPriority w:val="99"/>
  </w:style>
  <w:style w:type="paragraph" w:styleId="684">
    <w:name w:val="Caption"/>
    <w:basedOn w:val="828"/>
    <w:next w:val="8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8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0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2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4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5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6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7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8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9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0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1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2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7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8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9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0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1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2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3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9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0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1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2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3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4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5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7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8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9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0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1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2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3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4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5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6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7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8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9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0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1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2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3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4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5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6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7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9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0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1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2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3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4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5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6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7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8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9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0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1">
    <w:name w:val="footnote text"/>
    <w:basedOn w:val="828"/>
    <w:link w:val="812"/>
    <w:uiPriority w:val="99"/>
    <w:semiHidden/>
    <w:unhideWhenUsed/>
    <w:pPr>
      <w:spacing w:after="40" w:line="240" w:lineRule="auto"/>
    </w:pPr>
    <w:rPr>
      <w:sz w:val="18"/>
    </w:rPr>
  </w:style>
  <w:style w:type="character" w:styleId="812">
    <w:name w:val="Footnote Text Char"/>
    <w:link w:val="811"/>
    <w:uiPriority w:val="99"/>
    <w:rPr>
      <w:sz w:val="18"/>
    </w:rPr>
  </w:style>
  <w:style w:type="character" w:styleId="813">
    <w:name w:val="footnote reference"/>
    <w:basedOn w:val="830"/>
    <w:uiPriority w:val="99"/>
    <w:unhideWhenUsed/>
    <w:rPr>
      <w:vertAlign w:val="superscript"/>
    </w:rPr>
  </w:style>
  <w:style w:type="paragraph" w:styleId="814">
    <w:name w:val="endnote text"/>
    <w:basedOn w:val="828"/>
    <w:link w:val="815"/>
    <w:uiPriority w:val="99"/>
    <w:semiHidden/>
    <w:unhideWhenUsed/>
    <w:pPr>
      <w:spacing w:after="0" w:line="240" w:lineRule="auto"/>
    </w:pPr>
    <w:rPr>
      <w:sz w:val="20"/>
    </w:rPr>
  </w:style>
  <w:style w:type="character" w:styleId="815">
    <w:name w:val="Endnote Text Char"/>
    <w:link w:val="814"/>
    <w:uiPriority w:val="99"/>
    <w:rPr>
      <w:sz w:val="20"/>
    </w:rPr>
  </w:style>
  <w:style w:type="character" w:styleId="816">
    <w:name w:val="endnote reference"/>
    <w:basedOn w:val="830"/>
    <w:uiPriority w:val="99"/>
    <w:semiHidden/>
    <w:unhideWhenUsed/>
    <w:rPr>
      <w:vertAlign w:val="superscript"/>
    </w:rPr>
  </w:style>
  <w:style w:type="paragraph" w:styleId="817">
    <w:name w:val="toc 1"/>
    <w:basedOn w:val="828"/>
    <w:next w:val="828"/>
    <w:uiPriority w:val="39"/>
    <w:unhideWhenUsed/>
    <w:pPr>
      <w:ind w:left="0" w:right="0" w:firstLine="0"/>
      <w:spacing w:after="57"/>
    </w:pPr>
  </w:style>
  <w:style w:type="paragraph" w:styleId="818">
    <w:name w:val="toc 2"/>
    <w:basedOn w:val="828"/>
    <w:next w:val="828"/>
    <w:uiPriority w:val="39"/>
    <w:unhideWhenUsed/>
    <w:pPr>
      <w:ind w:left="283" w:right="0" w:firstLine="0"/>
      <w:spacing w:after="57"/>
    </w:pPr>
  </w:style>
  <w:style w:type="paragraph" w:styleId="819">
    <w:name w:val="toc 3"/>
    <w:basedOn w:val="828"/>
    <w:next w:val="828"/>
    <w:uiPriority w:val="39"/>
    <w:unhideWhenUsed/>
    <w:pPr>
      <w:ind w:left="567" w:right="0" w:firstLine="0"/>
      <w:spacing w:after="57"/>
    </w:pPr>
  </w:style>
  <w:style w:type="paragraph" w:styleId="820">
    <w:name w:val="toc 4"/>
    <w:basedOn w:val="828"/>
    <w:next w:val="828"/>
    <w:uiPriority w:val="39"/>
    <w:unhideWhenUsed/>
    <w:pPr>
      <w:ind w:left="850" w:right="0" w:firstLine="0"/>
      <w:spacing w:after="57"/>
    </w:pPr>
  </w:style>
  <w:style w:type="paragraph" w:styleId="821">
    <w:name w:val="toc 5"/>
    <w:basedOn w:val="828"/>
    <w:next w:val="828"/>
    <w:uiPriority w:val="39"/>
    <w:unhideWhenUsed/>
    <w:pPr>
      <w:ind w:left="1134" w:right="0" w:firstLine="0"/>
      <w:spacing w:after="57"/>
    </w:pPr>
  </w:style>
  <w:style w:type="paragraph" w:styleId="822">
    <w:name w:val="toc 6"/>
    <w:basedOn w:val="828"/>
    <w:next w:val="828"/>
    <w:uiPriority w:val="39"/>
    <w:unhideWhenUsed/>
    <w:pPr>
      <w:ind w:left="1417" w:right="0" w:firstLine="0"/>
      <w:spacing w:after="57"/>
    </w:pPr>
  </w:style>
  <w:style w:type="paragraph" w:styleId="823">
    <w:name w:val="toc 7"/>
    <w:basedOn w:val="828"/>
    <w:next w:val="828"/>
    <w:uiPriority w:val="39"/>
    <w:unhideWhenUsed/>
    <w:pPr>
      <w:ind w:left="1701" w:right="0" w:firstLine="0"/>
      <w:spacing w:after="57"/>
    </w:pPr>
  </w:style>
  <w:style w:type="paragraph" w:styleId="824">
    <w:name w:val="toc 8"/>
    <w:basedOn w:val="828"/>
    <w:next w:val="828"/>
    <w:uiPriority w:val="39"/>
    <w:unhideWhenUsed/>
    <w:pPr>
      <w:ind w:left="1984" w:right="0" w:firstLine="0"/>
      <w:spacing w:after="57"/>
    </w:pPr>
  </w:style>
  <w:style w:type="paragraph" w:styleId="825">
    <w:name w:val="toc 9"/>
    <w:basedOn w:val="828"/>
    <w:next w:val="828"/>
    <w:uiPriority w:val="39"/>
    <w:unhideWhenUsed/>
    <w:pPr>
      <w:ind w:left="2268" w:right="0" w:firstLine="0"/>
      <w:spacing w:after="57"/>
    </w:pPr>
  </w:style>
  <w:style w:type="paragraph" w:styleId="826">
    <w:name w:val="TOC Heading"/>
    <w:uiPriority w:val="39"/>
    <w:unhideWhenUsed/>
  </w:style>
  <w:style w:type="paragraph" w:styleId="827">
    <w:name w:val="table of figures"/>
    <w:basedOn w:val="828"/>
    <w:next w:val="828"/>
    <w:uiPriority w:val="99"/>
    <w:unhideWhenUsed/>
    <w:pPr>
      <w:spacing w:after="0" w:afterAutospacing="0"/>
    </w:pPr>
  </w:style>
  <w:style w:type="paragraph" w:styleId="828" w:default="1">
    <w:name w:val="Normal"/>
    <w:qFormat/>
  </w:style>
  <w:style w:type="paragraph" w:styleId="829">
    <w:name w:val="Heading 1"/>
    <w:basedOn w:val="828"/>
    <w:link w:val="833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character" w:styleId="833" w:customStyle="1">
    <w:name w:val="Заголовок 1 Знак"/>
    <w:basedOn w:val="830"/>
    <w:link w:val="829"/>
    <w:uiPriority w:val="9"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table" w:styleId="834">
    <w:name w:val="Table Grid"/>
    <w:basedOn w:val="83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35">
    <w:name w:val="No Spacing"/>
    <w:uiPriority w:val="1"/>
    <w:qFormat/>
    <w:pPr>
      <w:spacing w:after="0" w:line="240" w:lineRule="auto"/>
    </w:pPr>
  </w:style>
  <w:style w:type="character" w:styleId="836">
    <w:name w:val="Hyperlink"/>
    <w:basedOn w:val="830"/>
    <w:uiPriority w:val="99"/>
    <w:semiHidden/>
    <w:unhideWhenUsed/>
    <w:rPr>
      <w:color w:val="0000ff"/>
      <w:u w:val="single"/>
    </w:rPr>
  </w:style>
  <w:style w:type="paragraph" w:styleId="837">
    <w:name w:val="Normal (Web)"/>
    <w:basedOn w:val="828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8" w:customStyle="1">
    <w:name w:val="ConsPlusTitlePag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ahoma" w:hAnsi="Tahoma" w:eastAsia="Times New Roman" w:cs="Tahoma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obrazov.cap.ru/action/activity/nadzor-i-kontrolj-v-sfere-obrazovaniya/gosudarstvennaya-akkreditaciya-obrazovateljnoj-dey/profilaktika-riskov-pricheneniya-vreda/1-teksti-normativnih-pravovih-aktov-reguliruyuschi/federaljnij-zakon-ot-04082012-n-273-fz-red-ot-0408" TargetMode="External"/><Relationship Id="rId9" Type="http://schemas.openxmlformats.org/officeDocument/2006/relationships/hyperlink" Target="https://obrazov.cap.ru/action/activity/nadzor-i-kontrolj-v-sfere-obrazovaniya/gosudarstvennaya-akkreditaciya-obrazovateljnoj-dey/profilaktika-riskov-pricheneniya-vreda/1-teksti-normativnih-pravovih-aktov-reguliruyuschi/federaljnij-zakon-ot-04082012-n-273-fz-red-ot-0408" TargetMode="External"/><Relationship Id="rId10" Type="http://schemas.openxmlformats.org/officeDocument/2006/relationships/hyperlink" Target="https://obrazov.cap.ru/action/activity/nadzor-i-kontrolj-v-sfere-obrazovaniya/gosudarstvennaya-akkreditaciya-obrazovateljnoj-dey/profilaktika-riskov-pricheneniya-vreda/1-teksti-normativnih-pravovih-aktov-reguliruyuschi/federaljnij-zakon-ot-04082012-n-273-fz-red-ot-040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надзор5</dc:creator>
  <cp:lastModifiedBy>economy122@cap.ru</cp:lastModifiedBy>
  <cp:revision>12</cp:revision>
  <dcterms:created xsi:type="dcterms:W3CDTF">2024-07-30T10:13:00Z</dcterms:created>
  <dcterms:modified xsi:type="dcterms:W3CDTF">2026-01-30T08:17:34Z</dcterms:modified>
</cp:coreProperties>
</file>