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494BDC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494BDC">
        <w:rPr>
          <w:rFonts w:ascii="Times New Roman" w:hAnsi="Times New Roman"/>
          <w:szCs w:val="26"/>
        </w:rPr>
        <w:t xml:space="preserve">                    </w:t>
      </w:r>
      <w:proofErr w:type="gramStart"/>
      <w:r w:rsidR="00494BDC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0845D6">
        <w:rPr>
          <w:rFonts w:ascii="Times New Roman" w:hAnsi="Times New Roman"/>
          <w:szCs w:val="26"/>
        </w:rPr>
        <w:t>160225:61</w:t>
      </w:r>
      <w:r w:rsidR="00674F7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0845D6">
        <w:rPr>
          <w:rFonts w:ascii="Times New Roman" w:hAnsi="Times New Roman"/>
          <w:szCs w:val="26"/>
        </w:rPr>
        <w:t xml:space="preserve">а Казакова Ольга Владимировна, 13.06.1981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3C79D8">
        <w:rPr>
          <w:rFonts w:ascii="Times New Roman" w:hAnsi="Times New Roman"/>
          <w:szCs w:val="26"/>
        </w:rPr>
        <w:t>зарегистрированная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B11DFB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7902EE" w:rsidRDefault="003D3BEE" w:rsidP="007902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0845D6">
        <w:rPr>
          <w:rFonts w:ascii="Times New Roman" w:hAnsi="Times New Roman"/>
          <w:sz w:val="26"/>
          <w:szCs w:val="26"/>
        </w:rPr>
        <w:t>Казаковой Ольги Владимировны</w:t>
      </w:r>
      <w:r w:rsidR="000845D6" w:rsidRPr="000845D6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7902EE" w:rsidRPr="007902EE">
        <w:rPr>
          <w:rFonts w:ascii="Times New Roman" w:hAnsi="Times New Roman"/>
          <w:sz w:val="26"/>
          <w:szCs w:val="26"/>
          <w:u w:val="single"/>
        </w:rPr>
        <w:t>договором куп</w:t>
      </w:r>
      <w:r w:rsidR="007902EE">
        <w:rPr>
          <w:rFonts w:ascii="Times New Roman" w:hAnsi="Times New Roman"/>
          <w:sz w:val="26"/>
          <w:szCs w:val="26"/>
          <w:u w:val="single"/>
        </w:rPr>
        <w:t xml:space="preserve">ли-продажи земельного участка </w:t>
      </w:r>
      <w:proofErr w:type="spellStart"/>
      <w:r w:rsidR="007902EE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7902EE" w:rsidRPr="007902EE">
        <w:rPr>
          <w:rFonts w:ascii="Times New Roman" w:hAnsi="Times New Roman"/>
          <w:sz w:val="26"/>
          <w:szCs w:val="26"/>
          <w:u w:val="single"/>
        </w:rPr>
        <w:t xml:space="preserve"> 11.11.2008г.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3B1042" w:rsidRDefault="003B1042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3B1042" w:rsidRPr="003D3BEE" w:rsidRDefault="003B1042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84" w:rsidRDefault="005F2184">
      <w:r>
        <w:separator/>
      </w:r>
    </w:p>
  </w:endnote>
  <w:endnote w:type="continuationSeparator" w:id="0">
    <w:p w:rsidR="005F2184" w:rsidRDefault="005F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84" w:rsidRDefault="005F2184">
      <w:r>
        <w:separator/>
      </w:r>
    </w:p>
  </w:footnote>
  <w:footnote w:type="continuationSeparator" w:id="0">
    <w:p w:rsidR="005F2184" w:rsidRDefault="005F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A626C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B1042"/>
    <w:rsid w:val="003C7636"/>
    <w:rsid w:val="003C79D8"/>
    <w:rsid w:val="003D3BEE"/>
    <w:rsid w:val="003F5BE4"/>
    <w:rsid w:val="00462425"/>
    <w:rsid w:val="00466C7A"/>
    <w:rsid w:val="004839B3"/>
    <w:rsid w:val="00494BDC"/>
    <w:rsid w:val="004A7554"/>
    <w:rsid w:val="004C09FB"/>
    <w:rsid w:val="004D2D4A"/>
    <w:rsid w:val="00504082"/>
    <w:rsid w:val="005068BD"/>
    <w:rsid w:val="00527375"/>
    <w:rsid w:val="00533BDE"/>
    <w:rsid w:val="00563971"/>
    <w:rsid w:val="00591B6B"/>
    <w:rsid w:val="005A69CC"/>
    <w:rsid w:val="005B12F8"/>
    <w:rsid w:val="005B60AB"/>
    <w:rsid w:val="005F16B6"/>
    <w:rsid w:val="005F2184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902EE"/>
    <w:rsid w:val="007F72D9"/>
    <w:rsid w:val="00824DAA"/>
    <w:rsid w:val="008413F1"/>
    <w:rsid w:val="00866E35"/>
    <w:rsid w:val="00877E62"/>
    <w:rsid w:val="00890067"/>
    <w:rsid w:val="008B762E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CB7E29"/>
    <w:rsid w:val="00D43B98"/>
    <w:rsid w:val="00D474A4"/>
    <w:rsid w:val="00D61F6B"/>
    <w:rsid w:val="00DA7D40"/>
    <w:rsid w:val="00DE328D"/>
    <w:rsid w:val="00DE756C"/>
    <w:rsid w:val="00DF761C"/>
    <w:rsid w:val="00E2203F"/>
    <w:rsid w:val="00E417C9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677D4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2024-09-20T10:07:00Z</dcterms:created>
  <dcterms:modified xsi:type="dcterms:W3CDTF">2024-09-20T10:07:00Z</dcterms:modified>
</cp:coreProperties>
</file>