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12036" w:right="15" w:firstLine="445"/>
        <w:jc w:val="right"/>
        <w:spacing w:before="78" w:line="249" w:lineRule="auto"/>
        <w:rPr>
          <w:highlight w:val="none"/>
        </w:rPr>
      </w:pPr>
      <w:r>
        <w:t xml:space="preserve">Приложение к приказу Минобразования Чувашии</w:t>
      </w:r>
      <w:r/>
    </w:p>
    <w:p>
      <w:pPr>
        <w:pStyle w:val="836"/>
        <w:ind w:left="12036" w:right="15" w:firstLine="445"/>
        <w:jc w:val="right"/>
        <w:spacing w:before="78" w:line="249" w:lineRule="auto"/>
      </w:pPr>
      <w:r>
        <w:rPr>
          <w:highlight w:val="none"/>
        </w:rPr>
        <w:t xml:space="preserve">от 28.12.2024 № 1606</w:t>
      </w:r>
      <w:r>
        <w:rPr>
          <w:highlight w:val="none"/>
        </w:rPr>
      </w:r>
    </w:p>
    <w:p>
      <w:pPr>
        <w:pStyle w:val="836"/>
        <w:ind w:left="12036" w:right="15" w:firstLine="445"/>
        <w:jc w:val="right"/>
        <w:spacing w:before="78" w:line="249" w:lineRule="auto"/>
      </w:pPr>
      <w:r/>
      <w:r/>
    </w:p>
    <w:p>
      <w:pPr>
        <w:pStyle w:val="836"/>
        <w:jc w:val="left"/>
        <w:spacing w:before="40"/>
      </w:pPr>
      <w:r/>
      <w:r/>
    </w:p>
    <w:p>
      <w:pPr>
        <w:pStyle w:val="836"/>
        <w:ind w:left="248" w:right="74"/>
        <w:spacing w:before="1"/>
      </w:pPr>
      <w:r>
        <w:rPr>
          <w:spacing w:val="-4"/>
        </w:rPr>
        <w:t xml:space="preserve">ЕЖЕГОДНЫЙ ПЛАН</w:t>
      </w:r>
      <w:r/>
    </w:p>
    <w:p>
      <w:pPr>
        <w:pStyle w:val="836"/>
        <w:ind w:left="248" w:right="70"/>
        <w:spacing w:before="12" w:line="252" w:lineRule="auto"/>
      </w:pPr>
      <w:r>
        <w:t xml:space="preserve">проведения</w:t>
      </w:r>
      <w:r>
        <w:t xml:space="preserve"> проверок за</w:t>
      </w:r>
      <w:r>
        <w:rPr>
          <w:spacing w:val="-16"/>
        </w:rPr>
        <w:t xml:space="preserve"> </w:t>
      </w:r>
      <w:r>
        <w:t xml:space="preserve">соблюдением</w:t>
      </w:r>
      <w:r>
        <w:rPr>
          <w:spacing w:val="22"/>
        </w:rPr>
        <w:t xml:space="preserve"> </w:t>
      </w:r>
      <w:r>
        <w:t xml:space="preserve">трудового законодательства</w:t>
      </w:r>
      <w:r>
        <w:rPr>
          <w:spacing w:val="-10"/>
        </w:rPr>
        <w:t xml:space="preserve"> </w:t>
      </w:r>
      <w:r>
        <w:rPr>
          <w:color w:val="0f0f0f"/>
        </w:rPr>
        <w:t xml:space="preserve">и</w:t>
      </w:r>
      <w:r>
        <w:rPr>
          <w:color w:val="0f0f0f"/>
          <w:spacing w:val="-10"/>
        </w:rPr>
        <w:t xml:space="preserve"> </w:t>
      </w:r>
      <w:r>
        <w:t xml:space="preserve">иных</w:t>
      </w:r>
      <w:r>
        <w:rPr>
          <w:spacing w:val="-2"/>
        </w:rPr>
        <w:t xml:space="preserve"> </w:t>
      </w:r>
      <w:r>
        <w:t xml:space="preserve">нормативных</w:t>
      </w:r>
      <w:r>
        <w:rPr>
          <w:spacing w:val="20"/>
        </w:rPr>
        <w:t xml:space="preserve"> </w:t>
      </w:r>
      <w:r>
        <w:t xml:space="preserve">правовых актов, содержащих нормы</w:t>
      </w:r>
      <w:r>
        <w:rPr>
          <w:spacing w:val="-1"/>
        </w:rPr>
        <w:t xml:space="preserve"> </w:t>
      </w:r>
      <w:r>
        <w:t xml:space="preserve">трудового права,</w:t>
      </w:r>
      <w:r>
        <w:rPr>
          <w:spacing w:val="40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организациях</w:t>
      </w:r>
      <w:r>
        <w:t xml:space="preserve"> находящихся</w:t>
      </w:r>
      <w:r>
        <w:t xml:space="preserve"> в</w:t>
      </w:r>
      <w:r>
        <w:rPr>
          <w:spacing w:val="-7"/>
        </w:rPr>
        <w:t xml:space="preserve"> </w:t>
      </w:r>
      <w:r>
        <w:t xml:space="preserve">ведении Министерства образования</w:t>
      </w:r>
      <w:r>
        <w:rPr>
          <w:spacing w:val="21"/>
        </w:rPr>
        <w:t xml:space="preserve"> </w:t>
      </w:r>
      <w:r>
        <w:t xml:space="preserve">Чувашской</w:t>
      </w:r>
      <w:r>
        <w:t xml:space="preserve"> Республики</w:t>
      </w:r>
      <w:r/>
    </w:p>
    <w:p>
      <w:pPr>
        <w:pStyle w:val="836"/>
        <w:ind w:left="258" w:right="70"/>
        <w:spacing w:line="263" w:lineRule="exact"/>
      </w:pPr>
      <w:r>
        <w:t xml:space="preserve">на</w:t>
      </w:r>
      <w:r>
        <w:rPr>
          <w:spacing w:val="-7"/>
        </w:rPr>
        <w:t xml:space="preserve"> </w:t>
      </w:r>
      <w:r>
        <w:t xml:space="preserve">2025</w:t>
      </w:r>
      <w:r>
        <w:rPr>
          <w:spacing w:val="5"/>
        </w:rPr>
        <w:t xml:space="preserve"> </w:t>
      </w:r>
      <w:r>
        <w:rPr>
          <w:spacing w:val="-5"/>
        </w:rPr>
        <w:t xml:space="preserve">год</w:t>
      </w:r>
      <w:r/>
    </w:p>
    <w:p>
      <w:pPr>
        <w:pStyle w:val="836"/>
        <w:jc w:val="left"/>
        <w:spacing w:before="84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98" w:type="dxa"/>
        <w:tblBorders>
          <w:top w:val="single" w:color="1C1C1C" w:sz="6" w:space="0"/>
          <w:left w:val="single" w:color="1C1C1C" w:sz="6" w:space="0"/>
          <w:bottom w:val="single" w:color="1C1C1C" w:sz="6" w:space="0"/>
          <w:right w:val="single" w:color="1C1C1C" w:sz="6" w:space="0"/>
          <w:insideH w:val="single" w:color="1C1C1C" w:sz="6" w:space="0"/>
          <w:insideV w:val="single" w:color="1C1C1C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6"/>
        <w:gridCol w:w="3269"/>
        <w:gridCol w:w="2698"/>
        <w:gridCol w:w="2991"/>
        <w:gridCol w:w="1844"/>
        <w:gridCol w:w="2996"/>
      </w:tblGrid>
      <w:tr>
        <w:tblPrEx/>
        <w:trPr>
          <w:trHeight w:val="711"/>
        </w:trPr>
        <w:tc>
          <w:tcPr>
            <w:tcBorders>
              <w:bottom w:val="single" w:color="0C0C0C" w:sz="4" w:space="0"/>
            </w:tcBorders>
            <w:tcW w:w="826" w:type="dxa"/>
            <w:textDirection w:val="lrTb"/>
            <w:noWrap w:val="false"/>
          </w:tcPr>
          <w:p>
            <w:pPr>
              <w:pStyle w:val="838"/>
              <w:ind w:left="78" w:right="103"/>
              <w:spacing w:line="233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bottom w:val="single" w:color="0F0F0F" w:sz="4" w:space="0"/>
            </w:tcBorders>
            <w:tcW w:w="3269" w:type="dxa"/>
            <w:textDirection w:val="lrTb"/>
            <w:noWrap w:val="false"/>
          </w:tcPr>
          <w:p>
            <w:pPr>
              <w:pStyle w:val="838"/>
              <w:ind w:left="37" w:right="45"/>
              <w:spacing w:line="233" w:lineRule="exact"/>
              <w:rPr>
                <w:sz w:val="23"/>
              </w:rPr>
            </w:pPr>
            <w:r>
              <w:rPr>
                <w:spacing w:val="-7"/>
                <w:sz w:val="23"/>
              </w:rPr>
              <w:t xml:space="preserve">Наименование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организации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bottom w:val="single" w:color="0F0F0F" w:sz="4" w:space="0"/>
            </w:tcBorders>
            <w:tcW w:w="2698" w:type="dxa"/>
            <w:textDirection w:val="lrTb"/>
            <w:noWrap w:val="false"/>
          </w:tcPr>
          <w:p>
            <w:pPr>
              <w:pStyle w:val="838"/>
              <w:ind w:left="28" w:right="6"/>
              <w:spacing w:line="22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Место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8" w:right="23"/>
              <w:spacing w:line="25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нахождения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bottom w:val="single" w:color="131313" w:sz="4" w:space="0"/>
            </w:tcBorders>
            <w:tcW w:w="2991" w:type="dxa"/>
            <w:textDirection w:val="lrTb"/>
            <w:noWrap w:val="false"/>
          </w:tcPr>
          <w:p>
            <w:pPr>
              <w:pStyle w:val="838"/>
              <w:ind w:left="25" w:right="8"/>
              <w:spacing w:line="223" w:lineRule="exact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Цель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color w:val="111111"/>
                <w:spacing w:val="-4"/>
                <w:sz w:val="23"/>
              </w:rPr>
              <w:t xml:space="preserve">и</w:t>
            </w:r>
            <w:r>
              <w:rPr>
                <w:color w:val="111111"/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основание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5"/>
              <w:spacing w:line="255" w:lineRule="exact"/>
              <w:rPr>
                <w:sz w:val="23"/>
              </w:rPr>
            </w:pPr>
            <w:r>
              <w:rPr>
                <w:spacing w:val="-6"/>
                <w:sz w:val="23"/>
              </w:rPr>
              <w:t xml:space="preserve">проведения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проверок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38"/>
              <w:ind w:left="211" w:right="166"/>
              <w:spacing w:line="223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Сроки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11" w:right="179"/>
              <w:spacing w:line="24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проведения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11" w:right="-44"/>
              <w:spacing w:line="222" w:lineRule="exact"/>
              <w:tabs>
                <w:tab w:val="left" w:pos="506" w:leader="none"/>
                <w:tab w:val="left" w:pos="1858" w:leader="none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ab/>
            </w:r>
            <w:r>
              <w:rPr>
                <w:spacing w:val="-2"/>
                <w:sz w:val="23"/>
                <w:u w:val="single"/>
              </w:rPr>
              <w:t xml:space="preserve">проверок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textDirection w:val="lrTb"/>
            <w:noWrap w:val="false"/>
          </w:tcPr>
          <w:p>
            <w:pPr>
              <w:pStyle w:val="838"/>
              <w:ind w:left="451" w:right="414" w:firstLine="421"/>
              <w:jc w:val="left"/>
              <w:spacing w:line="223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Проверяемые </w:t>
            </w:r>
            <w:r>
              <w:rPr>
                <w:spacing w:val="-6"/>
                <w:sz w:val="23"/>
              </w:rPr>
              <w:t xml:space="preserve">периоды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деятельности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C0C0C" w:sz="4" w:space="0"/>
            </w:tcBorders>
            <w:tcW w:w="826" w:type="dxa"/>
            <w:textDirection w:val="lrTb"/>
            <w:noWrap w:val="false"/>
          </w:tcPr>
          <w:p>
            <w:pPr>
              <w:pStyle w:val="838"/>
              <w:ind w:left="78" w:right="43"/>
              <w:spacing w:line="22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1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0F0F0F" w:sz="4" w:space="0"/>
            </w:tcBorders>
            <w:tcW w:w="3269" w:type="dxa"/>
            <w:textDirection w:val="lrTb"/>
            <w:noWrap w:val="false"/>
          </w:tcPr>
          <w:p>
            <w:pPr>
              <w:pStyle w:val="838"/>
              <w:ind w:left="37" w:right="18"/>
              <w:spacing w:line="22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2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0F0F0F" w:sz="4" w:space="0"/>
            </w:tcBorders>
            <w:tcW w:w="2698" w:type="dxa"/>
            <w:textDirection w:val="lrTb"/>
            <w:noWrap w:val="false"/>
          </w:tcPr>
          <w:p>
            <w:pPr>
              <w:pStyle w:val="838"/>
              <w:jc w:val="left"/>
              <w:spacing w:before="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</w:r>
            <w:r>
              <w:rPr>
                <w:sz w:val="2"/>
              </w:rPr>
            </w:r>
          </w:p>
          <w:p>
            <w:pPr>
              <w:pStyle w:val="838"/>
              <w:ind w:left="1311"/>
              <w:jc w:val="left"/>
              <w:spacing w:line="151" w:lineRule="exact"/>
              <w:rPr>
                <w:position w:val="-2"/>
                <w:sz w:val="15"/>
              </w:rPr>
            </w:pPr>
            <w:r>
              <w:rPr>
                <w:position w:val="-2"/>
                <w:sz w:val="15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577" cy="96012"/>
                      <wp:effectExtent l="0" t="0" r="0" b="0"/>
                      <wp:docPr id="1" name="Image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mage 6"/>
                              <pic:cNvPicPr/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577" cy="9601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.14pt;height:7.56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position w:val="-2"/>
                <w:sz w:val="15"/>
              </w:rPr>
            </w:r>
            <w:r>
              <w:rPr>
                <w:position w:val="-2"/>
                <w:sz w:val="15"/>
              </w:rPr>
            </w:r>
          </w:p>
        </w:tc>
        <w:tc>
          <w:tcPr>
            <w:tcBorders>
              <w:top w:val="single" w:color="131313" w:sz="4" w:space="0"/>
            </w:tcBorders>
            <w:tcW w:w="2991" w:type="dxa"/>
            <w:textDirection w:val="lrTb"/>
            <w:noWrap w:val="false"/>
          </w:tcPr>
          <w:p>
            <w:pPr>
              <w:pStyle w:val="838"/>
              <w:ind w:left="25" w:right="2"/>
              <w:spacing w:line="224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4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1844" w:type="dxa"/>
            <w:textDirection w:val="lrTb"/>
            <w:noWrap w:val="false"/>
          </w:tcPr>
          <w:p>
            <w:pPr>
              <w:pStyle w:val="838"/>
              <w:ind w:left="211" w:right="157"/>
              <w:spacing w:line="228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5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textDirection w:val="lrTb"/>
            <w:noWrap w:val="false"/>
          </w:tcPr>
          <w:p>
            <w:pPr>
              <w:pStyle w:val="838"/>
              <w:ind w:left="45"/>
              <w:spacing w:line="231" w:lineRule="exact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6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2007"/>
        </w:trPr>
        <w:tc>
          <w:tcPr>
            <w:tcW w:w="826" w:type="dxa"/>
            <w:textDirection w:val="lrTb"/>
            <w:noWrap w:val="false"/>
          </w:tcPr>
          <w:p>
            <w:pPr>
              <w:pStyle w:val="838"/>
              <w:ind w:left="78" w:right="41"/>
              <w:spacing w:line="225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1.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</w:rPr>
              <w:t xml:space="preserve">БУ ЧР «Чебоксарский центр для детей-сирот и детей, оставшихся без попечения родителей» Минобразования </w:t>
            </w:r>
            <w:r>
              <w:rPr>
                <w:sz w:val="23"/>
                <w:szCs w:val="23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</w:rPr>
              <w:t xml:space="preserve">Чувашии</w:t>
            </w:r>
            <w:r>
              <w:rPr>
                <w:sz w:val="23"/>
                <w:szCs w:val="23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bottom w:val="single" w:color="0F0F0F" w:sz="4" w:space="0"/>
            </w:tcBorders>
            <w:tcW w:w="2698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428014, Чувашская Республика,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г. Чебоксары,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ул. Магницкого, д. 24.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bottom w:val="single" w:color="131313" w:sz="4" w:space="0"/>
            </w:tcBorders>
            <w:tcW w:w="2991" w:type="dxa"/>
            <w:textDirection w:val="lrTb"/>
            <w:noWrap w:val="false"/>
          </w:tcPr>
          <w:p>
            <w:pPr>
              <w:pStyle w:val="838"/>
              <w:jc w:val="left"/>
              <w:spacing w:before="8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3"/>
              </w:rPr>
            </w:pPr>
            <w:r>
              <w:rPr>
                <w:sz w:val="23"/>
              </w:rPr>
              <w:t xml:space="preserve">соблюдение трудового законодательства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иных нормативных правовых </w:t>
            </w:r>
            <w:r>
              <w:rPr>
                <w:spacing w:val="-6"/>
                <w:sz w:val="23"/>
              </w:rPr>
              <w:t xml:space="preserve">актов,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содержащих </w:t>
            </w:r>
            <w:r>
              <w:rPr>
                <w:spacing w:val="-6"/>
                <w:sz w:val="23"/>
              </w:rPr>
              <w:t xml:space="preserve">нормы </w:t>
            </w:r>
            <w:r>
              <w:rPr>
                <w:sz w:val="23"/>
              </w:rPr>
              <w:t xml:space="preserve">трудового права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bottom w:val="single" w:color="131313" w:sz="4" w:space="0"/>
            </w:tcBorders>
            <w:tcW w:w="1844" w:type="dxa"/>
            <w:textDirection w:val="lrTb"/>
            <w:noWrap w:val="false"/>
          </w:tcPr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spacing w:before="5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11" w:right="168"/>
              <w:rPr>
                <w:sz w:val="23"/>
              </w:rPr>
            </w:pPr>
            <w:r>
              <w:rPr>
                <w:spacing w:val="-5"/>
                <w:sz w:val="23"/>
              </w:rPr>
            </w:r>
            <w:r>
              <w:rPr>
                <w:spacing w:val="-4"/>
                <w:sz w:val="23"/>
              </w:rPr>
              <w:t xml:space="preserve">апрель,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2025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textDirection w:val="lrTb"/>
            <w:noWrap w:val="false"/>
          </w:tcPr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spacing w:before="52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45" w:right="1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  <w:t xml:space="preserve">2022-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1970"/>
        </w:trPr>
        <w:tc>
          <w:tcPr>
            <w:tcW w:w="826" w:type="dxa"/>
            <w:textDirection w:val="lrTb"/>
            <w:noWrap w:val="false"/>
          </w:tcPr>
          <w:p>
            <w:pPr>
              <w:pStyle w:val="838"/>
              <w:ind w:left="78" w:right="25"/>
              <w:spacing w:line="20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 xml:space="preserve">2.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БУ ЧР «Шумерлинский центр для детей-сирот и детей, оставшихся без попечения родителей» Минобразования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Чувашии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0F0F0F" w:sz="4" w:space="0"/>
            </w:tcBorders>
            <w:tcW w:w="2698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429124, Чувашская Республика,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 г. Шумерля, Порецкое шоссе, д. 4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131313" w:sz="4" w:space="0"/>
              <w:bottom w:val="single" w:color="1C1C1C" w:sz="4" w:space="0"/>
            </w:tcBorders>
            <w:tcW w:w="2991" w:type="dxa"/>
            <w:textDirection w:val="lrTb"/>
            <w:noWrap w:val="false"/>
          </w:tcPr>
          <w:p>
            <w:pPr>
              <w:pStyle w:val="838"/>
              <w:jc w:val="left"/>
              <w:spacing w:before="6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69" w:right="224" w:hanging="16"/>
              <w:spacing w:before="1" w:line="228" w:lineRule="auto"/>
              <w:rPr>
                <w:sz w:val="23"/>
              </w:rPr>
            </w:pPr>
            <w:r>
              <w:rPr>
                <w:sz w:val="23"/>
              </w:rPr>
              <w:t xml:space="preserve">соблюдение трудового законодательства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 xml:space="preserve">иных нормативных правовых актов,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 xml:space="preserve">содержащих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нормы трудового права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131313" w:sz="4" w:space="0"/>
              <w:bottom w:val="single" w:color="1C1C1C" w:sz="4" w:space="0"/>
            </w:tcBorders>
            <w:tcW w:w="1844" w:type="dxa"/>
            <w:textDirection w:val="lrTb"/>
            <w:noWrap w:val="false"/>
          </w:tcPr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spacing w:before="2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11" w:right="158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июнь, 2025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textDirection w:val="lrTb"/>
            <w:noWrap w:val="false"/>
          </w:tcPr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spacing w:before="25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45" w:right="1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  <w:t xml:space="preserve">2022-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45" w:right="19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</w:tr>
      <w:tr>
        <w:tblPrEx/>
        <w:trPr>
          <w:trHeight w:val="1484"/>
        </w:trPr>
        <w:tc>
          <w:tcPr>
            <w:tcW w:w="826" w:type="dxa"/>
            <w:textDirection w:val="lrTb"/>
            <w:noWrap w:val="false"/>
          </w:tcPr>
          <w:p>
            <w:pPr>
              <w:pStyle w:val="838"/>
              <w:ind w:left="103" w:right="25"/>
              <w:spacing w:line="211" w:lineRule="exact"/>
              <w:rPr>
                <w:sz w:val="23"/>
              </w:rPr>
            </w:pPr>
            <w:r>
              <w:rPr>
                <w:sz w:val="23"/>
              </w:rPr>
              <w:t xml:space="preserve">3.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3269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КОУ «Порецкий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детский дом имени И.Н. Ульянова»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Минобразования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Чувашии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W w:w="2698" w:type="dxa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429020, Чувашская Республика, Поре</w:t>
            </w:r>
            <w:r>
              <w:rPr>
                <w:sz w:val="23"/>
                <w:szCs w:val="23"/>
                <w:lang w:eastAsia="ru-RU"/>
              </w:rPr>
              <w:t xml:space="preserve">ц</w:t>
            </w:r>
            <w:r>
              <w:rPr>
                <w:sz w:val="23"/>
                <w:szCs w:val="23"/>
                <w:lang w:eastAsia="ru-RU"/>
              </w:rPr>
              <w:t xml:space="preserve">кий район,  с. Порецкое,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ул. Комсомольская, 5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</w:tc>
        <w:tc>
          <w:tcPr>
            <w:tcBorders>
              <w:top w:val="single" w:color="1C1C1C" w:sz="4" w:space="0"/>
            </w:tcBorders>
            <w:tcW w:w="2991" w:type="dxa"/>
            <w:textDirection w:val="lrTb"/>
            <w:noWrap w:val="false"/>
          </w:tcPr>
          <w:p>
            <w:pPr>
              <w:pStyle w:val="838"/>
              <w:ind w:left="269" w:right="227" w:hanging="10"/>
              <w:spacing w:before="76" w:line="228" w:lineRule="auto"/>
              <w:rPr>
                <w:sz w:val="23"/>
              </w:rPr>
            </w:pPr>
            <w:r>
              <w:rPr>
                <w:sz w:val="23"/>
              </w:rPr>
              <w:t xml:space="preserve">соблюдение трудового законодательства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иных нормативных правовых </w:t>
            </w:r>
            <w:r>
              <w:rPr>
                <w:spacing w:val="-6"/>
                <w:sz w:val="23"/>
              </w:rPr>
              <w:t xml:space="preserve">актов,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содержащих </w:t>
            </w:r>
            <w:r>
              <w:rPr>
                <w:spacing w:val="-6"/>
                <w:sz w:val="23"/>
              </w:rPr>
              <w:t xml:space="preserve">нормы </w:t>
            </w:r>
            <w:r>
              <w:rPr>
                <w:sz w:val="23"/>
              </w:rPr>
              <w:t xml:space="preserve">трудового права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Borders>
              <w:top w:val="single" w:color="1C1C1C" w:sz="4" w:space="0"/>
            </w:tcBorders>
            <w:tcW w:w="1844" w:type="dxa"/>
            <w:textDirection w:val="lrTb"/>
            <w:noWrap w:val="false"/>
          </w:tcPr>
          <w:p>
            <w:pPr>
              <w:pStyle w:val="838"/>
              <w:jc w:val="left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jc w:val="left"/>
              <w:spacing w:before="40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38"/>
              <w:ind w:left="211" w:right="153"/>
              <w:rPr>
                <w:sz w:val="23"/>
              </w:rPr>
            </w:pPr>
            <w:r>
              <w:rPr>
                <w:spacing w:val="-4"/>
                <w:sz w:val="23"/>
              </w:rPr>
              <w:t xml:space="preserve">июль, 2025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textDirection w:val="lrTb"/>
            <w:noWrap w:val="false"/>
          </w:tcPr>
          <w:p>
            <w:pPr>
              <w:jc w:val="center"/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/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z w:val="23"/>
              </w:rPr>
            </w:r>
            <w:r>
              <w:rPr>
                <w:sz w:val="23"/>
              </w:rPr>
              <w:t xml:space="preserve">2022-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z w:val="23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</w:tc>
      </w:tr>
      <w:tr>
        <w:tblPrEx/>
        <w:trPr>
          <w:trHeight w:val="1484"/>
        </w:trPr>
        <w:tc>
          <w:tcPr>
            <w:tcW w:w="826" w:type="dxa"/>
            <w:vMerge w:val="restart"/>
            <w:textDirection w:val="lrTb"/>
            <w:noWrap w:val="false"/>
          </w:tcPr>
          <w:p>
            <w:pPr>
              <w:pStyle w:val="838"/>
              <w:ind w:left="103" w:right="25"/>
              <w:spacing w:line="211" w:lineRule="exact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 xml:space="preserve">4.</w:t>
            </w:r>
            <w:r>
              <w:rPr>
                <w:spacing w:val="-5"/>
                <w:sz w:val="23"/>
              </w:rPr>
            </w:r>
            <w:r>
              <w:rPr>
                <w:spacing w:val="-5"/>
                <w:sz w:val="23"/>
              </w:rPr>
            </w:r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Государственное автономное профессиональное образовательное учреждение Чувашской Республики "Вурнарский сельскохозяйственный техникум" </w:t>
            </w:r>
            <w:r>
              <w:rPr>
                <w:sz w:val="23"/>
                <w:szCs w:val="23"/>
                <w:lang w:eastAsia="ru-RU"/>
              </w:rPr>
              <w:t xml:space="preserve">Министерства образования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2"/>
                <w:szCs w:val="22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Чувашской </w:t>
            </w:r>
            <w:r>
              <w:rPr>
                <w:sz w:val="23"/>
                <w:szCs w:val="23"/>
                <w:lang w:eastAsia="en-US"/>
              </w:rPr>
              <w:t xml:space="preserve">Республики</w:t>
            </w:r>
            <w:r>
              <w:rPr>
                <w:sz w:val="23"/>
                <w:szCs w:val="23"/>
              </w:rPr>
            </w:r>
            <w:r>
              <w:rPr>
                <w:sz w:val="22"/>
                <w:szCs w:val="22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18"/>
                <w:szCs w:val="18"/>
                <w14:ligatures w14:val="none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  <w:r>
              <w:rPr>
                <w:sz w:val="18"/>
                <w:szCs w:val="18"/>
                <w14:ligatures w14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429220, Чувашская Республи</w:t>
            </w:r>
            <w:r>
              <w:rPr>
                <w:sz w:val="23"/>
                <w:szCs w:val="23"/>
                <w:lang w:eastAsia="ru-RU"/>
              </w:rPr>
              <w:t xml:space="preserve">ка</w:t>
            </w:r>
            <w:r>
              <w:rPr>
                <w:sz w:val="23"/>
                <w:szCs w:val="23"/>
                <w:lang w:eastAsia="ru-RU"/>
              </w:rPr>
              <w:t xml:space="preserve">, </w:t>
            </w:r>
            <w:r>
              <w:rPr>
                <w:sz w:val="23"/>
                <w:szCs w:val="23"/>
                <w:lang w:eastAsia="ru-RU"/>
              </w:rPr>
              <w:t xml:space="preserve">пгт</w:t>
            </w:r>
            <w:r>
              <w:rPr>
                <w:sz w:val="23"/>
                <w:szCs w:val="23"/>
                <w:lang w:eastAsia="ru-RU"/>
              </w:rPr>
              <w:t xml:space="preserve">  Вурнары,  улица Ленина, д.59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18"/>
                <w:szCs w:val="18"/>
                <w14:ligatures w14:val="none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  <w:r>
              <w:rPr>
                <w:sz w:val="18"/>
                <w:szCs w:val="18"/>
                <w14:ligatures w14:val="none"/>
              </w:rPr>
            </w:r>
          </w:p>
        </w:tc>
        <w:tc>
          <w:tcPr>
            <w:tcBorders>
              <w:top w:val="single" w:color="1C1C1C" w:sz="4" w:space="0"/>
            </w:tcBorders>
            <w:tcW w:w="29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3"/>
              </w:rPr>
              <w:t xml:space="preserve">соблюдение трудового законодательства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иных нормативных правовых </w:t>
            </w:r>
            <w:r>
              <w:rPr>
                <w:spacing w:val="-6"/>
                <w:sz w:val="23"/>
              </w:rPr>
              <w:t xml:space="preserve">актов,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содержащих </w:t>
            </w:r>
            <w:r>
              <w:rPr>
                <w:spacing w:val="-6"/>
                <w:sz w:val="23"/>
              </w:rPr>
              <w:t xml:space="preserve">нормы </w:t>
            </w:r>
            <w:r>
              <w:rPr>
                <w:sz w:val="23"/>
              </w:rPr>
              <w:t xml:space="preserve">трудового права</w:t>
            </w:r>
            <w:r>
              <w:rPr>
                <w:sz w:val="23"/>
              </w:rPr>
            </w:r>
            <w:r/>
          </w:p>
        </w:tc>
        <w:tc>
          <w:tcPr>
            <w:tcBorders>
              <w:top w:val="single" w:color="1C1C1C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сентябрь, 2025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/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z w:val="23"/>
              </w:rPr>
            </w:r>
            <w:r>
              <w:rPr>
                <w:sz w:val="23"/>
              </w:rPr>
              <w:t xml:space="preserve">2022-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z w:val="23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</w:tc>
      </w:tr>
      <w:tr>
        <w:tblPrEx/>
        <w:trPr>
          <w:trHeight w:val="1484"/>
        </w:trPr>
        <w:tc>
          <w:tcPr>
            <w:tcW w:w="826" w:type="dxa"/>
            <w:vMerge w:val="restart"/>
            <w:textDirection w:val="lrTb"/>
            <w:noWrap w:val="false"/>
          </w:tcPr>
          <w:p>
            <w:pPr>
              <w:pStyle w:val="838"/>
              <w:ind w:left="103" w:right="25"/>
              <w:spacing w:line="211" w:lineRule="exact"/>
              <w:rPr>
                <w:spacing w:val="-5"/>
                <w:sz w:val="23"/>
              </w:rPr>
            </w:pPr>
            <w:r>
              <w:rPr>
                <w:spacing w:val="-5"/>
                <w:sz w:val="23"/>
              </w:rPr>
              <w:t xml:space="preserve">5.</w:t>
            </w:r>
            <w:r>
              <w:rPr>
                <w:spacing w:val="-5"/>
                <w:sz w:val="23"/>
              </w:rPr>
            </w:r>
            <w:r>
              <w:rPr>
                <w:spacing w:val="-5"/>
                <w:sz w:val="23"/>
              </w:rPr>
            </w:r>
          </w:p>
        </w:tc>
        <w:tc>
          <w:tcPr>
            <w:tcW w:w="3269" w:type="dxa"/>
            <w:vMerge w:val="restart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Государственное автономное профессиональное образовательное учреждение Чувашской Республики "Чебоксарский профессиональный колледж им. Н.В.</w:t>
            </w:r>
            <w:r>
              <w:rPr>
                <w:sz w:val="23"/>
                <w:szCs w:val="23"/>
                <w:lang w:eastAsia="ru-RU"/>
              </w:rPr>
              <w:t xml:space="preserve"> </w:t>
            </w:r>
            <w:r>
              <w:rPr>
                <w:sz w:val="23"/>
                <w:szCs w:val="23"/>
                <w:lang w:eastAsia="ru-RU"/>
              </w:rPr>
              <w:t xml:space="preserve">Никольского" </w:t>
            </w:r>
            <w:r>
              <w:rPr>
                <w:sz w:val="23"/>
                <w:szCs w:val="23"/>
                <w:lang w:eastAsia="ru-RU"/>
              </w:rPr>
              <w:t xml:space="preserve">Министерства образования Чувашской Республики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3"/>
                <w:szCs w:val="23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3"/>
                <w:szCs w:val="23"/>
                <w14:ligatures w14:val="none"/>
              </w:rPr>
            </w:r>
          </w:p>
        </w:tc>
        <w:tc>
          <w:tcPr>
            <w:tcW w:w="2698" w:type="dxa"/>
            <w:vMerge w:val="restart"/>
            <w:textDirection w:val="lrTb"/>
            <w:noWrap w:val="false"/>
          </w:tcPr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428022, г. Чебоксары, 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20"/>
                <w:szCs w:val="20"/>
                <w14:ligatures w14:val="none"/>
              </w:rPr>
            </w:pPr>
            <w:r>
              <w:rPr>
                <w:sz w:val="23"/>
                <w:szCs w:val="23"/>
                <w:lang w:eastAsia="ru-RU"/>
              </w:rPr>
              <w:t xml:space="preserve">ул. Декабристов, д.17</w:t>
            </w:r>
            <w:r>
              <w:rPr>
                <w:sz w:val="23"/>
                <w:szCs w:val="23"/>
                <w:lang w:eastAsia="ru-RU"/>
              </w:rPr>
            </w:r>
            <w:r>
              <w:rPr>
                <w:sz w:val="20"/>
                <w:szCs w:val="20"/>
                <w14:ligatures w14:val="none"/>
              </w:rPr>
            </w:r>
          </w:p>
          <w:p>
            <w:pPr>
              <w:pStyle w:val="838"/>
              <w:ind w:left="265" w:right="228" w:hanging="16"/>
              <w:spacing w:line="230" w:lineRule="auto"/>
              <w:rPr>
                <w:sz w:val="18"/>
                <w:szCs w:val="18"/>
                <w14:ligatures w14:val="none"/>
              </w:rPr>
            </w:pPr>
            <w:r>
              <w:rPr>
                <w:sz w:val="23"/>
                <w:szCs w:val="23"/>
                <w:lang w:eastAsia="en-US"/>
              </w:rPr>
            </w:r>
            <w:r>
              <w:rPr>
                <w:sz w:val="23"/>
                <w:szCs w:val="23"/>
                <w:lang w:eastAsia="en-US"/>
              </w:rPr>
            </w:r>
            <w:r>
              <w:rPr>
                <w:sz w:val="18"/>
                <w:szCs w:val="18"/>
                <w14:ligatures w14:val="none"/>
              </w:rPr>
            </w:r>
          </w:p>
        </w:tc>
        <w:tc>
          <w:tcPr>
            <w:tcBorders>
              <w:top w:val="single" w:color="1C1C1C" w:sz="4" w:space="0"/>
            </w:tcBorders>
            <w:tcW w:w="2991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3"/>
              </w:rPr>
              <w:t xml:space="preserve">соблюдение трудового законодательства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иных нормативных правовых </w:t>
            </w:r>
            <w:r>
              <w:rPr>
                <w:spacing w:val="-6"/>
                <w:sz w:val="23"/>
              </w:rPr>
              <w:t xml:space="preserve">актов,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6"/>
                <w:sz w:val="23"/>
              </w:rPr>
              <w:t xml:space="preserve">содержащих </w:t>
            </w:r>
            <w:r>
              <w:rPr>
                <w:spacing w:val="-6"/>
                <w:sz w:val="23"/>
              </w:rPr>
              <w:t xml:space="preserve">нормы </w:t>
            </w:r>
            <w:r>
              <w:rPr>
                <w:sz w:val="23"/>
              </w:rPr>
              <w:t xml:space="preserve">трудового права</w:t>
            </w:r>
            <w:r>
              <w:rPr>
                <w:sz w:val="23"/>
              </w:rPr>
            </w:r>
            <w:r/>
          </w:p>
        </w:tc>
        <w:tc>
          <w:tcPr>
            <w:tcBorders>
              <w:top w:val="single" w:color="1C1C1C" w:sz="4" w:space="0"/>
            </w:tcBorders>
            <w:tcW w:w="1844" w:type="dxa"/>
            <w:vMerge w:val="restart"/>
            <w:textDirection w:val="lrTb"/>
            <w:noWrap w:val="false"/>
          </w:tcPr>
          <w:p>
            <w:pPr>
              <w:pStyle w:val="838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октябрь, 2025 </w:t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</w:tc>
        <w:tc>
          <w:tcPr>
            <w:tcW w:w="299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/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highlight w:val="none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  <w:p>
            <w:pPr>
              <w:jc w:val="center"/>
              <w:rPr>
                <w:spacing w:val="-4"/>
                <w:sz w:val="23"/>
                <w:szCs w:val="23"/>
                <w:highlight w:val="none"/>
              </w:rPr>
            </w:pPr>
            <w:r>
              <w:rPr>
                <w:sz w:val="23"/>
              </w:rPr>
            </w:r>
            <w:r>
              <w:rPr>
                <w:sz w:val="23"/>
              </w:rPr>
              <w:t xml:space="preserve">2022-</w:t>
            </w:r>
            <w:r>
              <w:rPr>
                <w:spacing w:val="-4"/>
                <w:sz w:val="23"/>
              </w:rPr>
              <w:t xml:space="preserve">2024</w:t>
            </w:r>
            <w:r>
              <w:rPr>
                <w:sz w:val="23"/>
              </w:rPr>
            </w:r>
            <w:r>
              <w:rPr>
                <w:spacing w:val="-4"/>
                <w:sz w:val="23"/>
                <w:szCs w:val="23"/>
                <w:highlight w:val="none"/>
              </w:rPr>
            </w:r>
          </w:p>
        </w:tc>
      </w:tr>
    </w:tbl>
    <w:p>
      <w:pPr>
        <w:pStyle w:val="838"/>
        <w:spacing w:after="0"/>
        <w:rPr>
          <w:sz w:val="23"/>
        </w:rPr>
        <w:sectPr>
          <w:footnotePr/>
          <w:endnotePr/>
          <w:type w:val="continuous"/>
          <w:pgSz w:w="16840" w:h="11910" w:orient="landscape"/>
          <w:pgMar w:top="800" w:right="1275" w:bottom="1361" w:left="708" w:header="709" w:footer="709" w:gutter="0"/>
          <w:cols w:num="1" w:sep="0" w:space="1701" w:equalWidth="1"/>
          <w:docGrid w:linePitch="360"/>
        </w:sect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r/>
      <w:r/>
    </w:p>
    <w:sectPr>
      <w:footnotePr/>
      <w:endnotePr/>
      <w:type w:val="continuous"/>
      <w:pgSz w:w="16840" w:h="11910" w:orient="landscape"/>
      <w:pgMar w:top="820" w:right="1275" w:bottom="280" w:left="708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5"/>
    <w:next w:val="835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5"/>
    <w:next w:val="835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5"/>
    <w:next w:val="835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5"/>
    <w:next w:val="835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5"/>
    <w:next w:val="835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5"/>
    <w:next w:val="835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5"/>
    <w:next w:val="835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5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5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2"/>
    <w:uiPriority w:val="99"/>
    <w:unhideWhenUsed/>
    <w:rPr>
      <w:vertAlign w:val="superscript"/>
    </w:rPr>
  </w:style>
  <w:style w:type="paragraph" w:styleId="818">
    <w:name w:val="endnote text"/>
    <w:basedOn w:val="835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2"/>
    <w:uiPriority w:val="99"/>
    <w:semiHidden/>
    <w:unhideWhenUsed/>
    <w:rPr>
      <w:vertAlign w:val="superscript"/>
    </w:rPr>
  </w:style>
  <w:style w:type="paragraph" w:styleId="821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5"/>
    <w:next w:val="835"/>
    <w:uiPriority w:val="99"/>
    <w:unhideWhenUsed/>
    <w:pPr>
      <w:spacing w:after="0" w:afterAutospacing="0"/>
    </w:p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6">
    <w:name w:val="Body Text"/>
    <w:basedOn w:val="835"/>
    <w:uiPriority w:val="1"/>
    <w:qFormat/>
    <w:pPr>
      <w:jc w:val="center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type="paragraph" w:styleId="837">
    <w:name w:val="List Paragraph"/>
    <w:basedOn w:val="835"/>
    <w:uiPriority w:val="1"/>
    <w:qFormat/>
    <w:rPr>
      <w:lang w:val="ru-RU" w:eastAsia="en-US" w:bidi="ar-SA"/>
    </w:rPr>
  </w:style>
  <w:style w:type="paragraph" w:styleId="838">
    <w:name w:val="Table Paragraph"/>
    <w:basedOn w:val="835"/>
    <w:uiPriority w:val="1"/>
    <w:qFormat/>
    <w:pPr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2025-03-05T08:21:00Z</dcterms:created>
  <dcterms:modified xsi:type="dcterms:W3CDTF">2025-03-10T13:31:52Z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2025-03-05T00:00:00Z</vt:filetime>
  </property>
</Properties>
</file>