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06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3"/>
        <w:gridCol w:w="1585"/>
        <w:gridCol w:w="4227"/>
      </w:tblGrid>
      <w:tr>
        <w:trPr>
          <w:trHeight w:val="624" w:hRule="exact"/>
        </w:trPr>
        <w:tc>
          <w:tcPr>
            <w:tcW w:w="4253" w:type="dxa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ФЕДЕРАЛЬНАЯ СЛУЖБА ПО НАДЗОРУ В СФЕРЕ ЗАЩИТЫ ПРАВ ПОТРЕБИТЕЛЕЙ И БЛАГОПОЛУЧИЯ ЧЕЛОВЕКА</w:t>
            </w:r>
          </w:p>
          <w:p>
            <w:pPr>
              <w:pStyle w:val="Normal"/>
              <w:widowControl w:val="false"/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tcW w:w="1585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tcW w:w="4227" w:type="dxa"/>
            <w:vMerge w:val="restart"/>
            <w:tcBorders/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Администрация г.Чебоксары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>
                <w:rStyle w:val="Style16"/>
                <w:lang w:val="en-US"/>
              </w:rPr>
              <w:t>gcheb_ot2@cap</w:t>
            </w:r>
            <w:hyperlink r:id="rId2">
              <w:r>
                <w:rPr>
                  <w:u w:val="single"/>
                </w:rPr>
                <w:t>.</w:t>
              </w:r>
              <w:r>
                <w:rPr>
                  <w:u w:val="single"/>
                  <w:lang w:val="en-US"/>
                </w:rPr>
                <w:t>ru</w:t>
              </w:r>
            </w:hyperlink>
          </w:p>
          <w:p>
            <w:pPr>
              <w:pStyle w:val="Normal"/>
              <w:widowControl w:val="false"/>
              <w:rPr/>
            </w:pPr>
            <w:r>
              <w:rPr/>
              <w:t>(по электронной почте)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637" w:hRule="exact"/>
        </w:trPr>
        <w:tc>
          <w:tcPr>
            <w:tcW w:w="4253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УПРАВЛЕНИЕ ФЕДЕРАЛЬНОЙ СЛУЖБЫ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 НАДЗОРУ В СФЕРЕ ЗАЩИТЫ ПРАВ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ПОТРЕБИТЕЛЕЙ И БЛАГОПОЛУЧИЯ ЧЕЛОВЕКА ПО ЧУВАШСКОЙ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РЕСПУБЛИКЕ - ЧУВАШИИ</w:t>
            </w:r>
          </w:p>
          <w:p>
            <w:pPr>
              <w:pStyle w:val="Normal"/>
              <w:widowControl w:val="false"/>
              <w:spacing w:lineRule="exact" w:line="2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exact" w:line="20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(Управление Роспотребнадзора по Чувашской Республике - Чувашии)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18"/>
                <w:szCs w:val="18"/>
                <w:lang w:val="ru-RU" w:eastAsia="ru-RU"/>
              </w:rPr>
            </w:pPr>
            <w:r>
              <w:rPr>
                <w:b/>
                <w:sz w:val="18"/>
                <w:szCs w:val="18"/>
                <w:lang w:val="ru-RU" w:eastAsia="ru-RU"/>
              </w:rPr>
            </w:r>
          </w:p>
        </w:tc>
        <w:tc>
          <w:tcPr>
            <w:tcW w:w="1585" w:type="dxa"/>
            <w:tcBorders/>
          </w:tcPr>
          <w:p>
            <w:pPr>
              <w:pStyle w:val="Normal"/>
              <w:widowControl w:val="false"/>
              <w:snapToGrid w:val="false"/>
              <w:rPr>
                <w:b/>
                <w:b/>
                <w:sz w:val="18"/>
                <w:szCs w:val="18"/>
                <w:lang w:val="ru-RU" w:eastAsia="ru-RU"/>
              </w:rPr>
            </w:pPr>
            <w:r>
              <w:rPr>
                <w:b/>
                <w:sz w:val="18"/>
                <w:szCs w:val="18"/>
                <w:lang w:val="ru-RU" w:eastAsia="ru-RU"/>
              </w:rPr>
            </w:r>
          </w:p>
          <w:p>
            <w:pPr>
              <w:pStyle w:val="Normal"/>
              <w:widowControl w:val="false"/>
              <w:rPr>
                <w:b/>
                <w:b/>
                <w:sz w:val="18"/>
                <w:szCs w:val="18"/>
                <w:lang w:val="ru-RU" w:eastAsia="ru-RU"/>
              </w:rPr>
            </w:pPr>
            <w:r>
              <w:rPr>
                <w:b/>
                <w:sz w:val="18"/>
                <w:szCs w:val="18"/>
                <w:lang w:val="ru-RU" w:eastAsia="ru-RU"/>
              </w:rPr>
            </w:r>
          </w:p>
          <w:p>
            <w:pPr>
              <w:pStyle w:val="Normal"/>
              <w:widowControl w:val="false"/>
              <w:rPr>
                <w:b/>
                <w:b/>
                <w:sz w:val="18"/>
                <w:szCs w:val="18"/>
                <w:lang w:val="ru-RU" w:eastAsia="ru-RU"/>
              </w:rPr>
            </w:pPr>
            <w:r>
              <w:rPr>
                <w:b/>
                <w:sz w:val="18"/>
                <w:szCs w:val="18"/>
                <w:lang w:val="ru-RU" w:eastAsia="ru-RU"/>
              </w:rPr>
            </w:r>
          </w:p>
        </w:tc>
        <w:tc>
          <w:tcPr>
            <w:tcW w:w="4227" w:type="dxa"/>
            <w:vMerge w:val="continue"/>
            <w:tcBorders/>
          </w:tcPr>
          <w:p>
            <w:pPr>
              <w:pStyle w:val="Normal"/>
              <w:widowControl w:val="false"/>
              <w:snapToGrid w:val="false"/>
              <w:rPr>
                <w:b/>
                <w:b/>
                <w:sz w:val="28"/>
                <w:szCs w:val="28"/>
                <w:lang w:val="ru-RU" w:eastAsia="ru-RU"/>
              </w:rPr>
            </w:pPr>
            <w:r>
              <w:rPr>
                <w:b/>
                <w:sz w:val="28"/>
                <w:szCs w:val="28"/>
                <w:lang w:val="ru-RU" w:eastAsia="ru-RU"/>
              </w:rPr>
            </w:r>
          </w:p>
        </w:tc>
      </w:tr>
      <w:tr>
        <w:trPr>
          <w:trHeight w:val="1557" w:hRule="exact"/>
        </w:trPr>
        <w:tc>
          <w:tcPr>
            <w:tcW w:w="4253" w:type="dxa"/>
            <w:tcBorders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16"/>
                <w:szCs w:val="16"/>
              </w:rPr>
              <w:t>Московский пр., д.</w:t>
            </w:r>
            <w:bookmarkStart w:id="0" w:name="_GoBack"/>
            <w:bookmarkEnd w:id="0"/>
            <w:r>
              <w:rPr>
                <w:sz w:val="16"/>
                <w:szCs w:val="16"/>
              </w:rPr>
              <w:t xml:space="preserve"> 3Д, г. Чебоксары, </w:t>
            </w:r>
          </w:p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Чувашская Республика, 428018</w:t>
            </w:r>
          </w:p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Тел. (8352) 58-17-13   Факс (8352) 58-53-07 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>:</w:t>
            </w:r>
            <w:r>
              <w:rPr>
                <w:i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sanit</w:t>
            </w:r>
            <w:r>
              <w:rPr>
                <w:sz w:val="16"/>
                <w:szCs w:val="16"/>
              </w:rPr>
              <w:t>@21</w:t>
            </w:r>
            <w:hyperlink r:id="rId3">
              <w:r>
                <w:rPr>
                  <w:color w:val="000000"/>
                  <w:sz w:val="16"/>
                  <w:szCs w:val="16"/>
                </w:rPr>
                <w:t>.</w:t>
              </w:r>
              <w:r>
                <w:rPr>
                  <w:color w:val="000000"/>
                  <w:sz w:val="16"/>
                  <w:szCs w:val="16"/>
                  <w:lang w:val="en-US"/>
                </w:rPr>
                <w:t>rospotrebnadzor</w:t>
              </w:r>
              <w:r>
                <w:rPr>
                  <w:color w:val="000000"/>
                  <w:sz w:val="16"/>
                  <w:szCs w:val="16"/>
                </w:rPr>
                <w:t>.</w:t>
              </w:r>
              <w:r>
                <w:rPr>
                  <w:color w:val="000000"/>
                  <w:sz w:val="16"/>
                  <w:szCs w:val="16"/>
                  <w:lang w:val="en-US"/>
                </w:rPr>
                <w:t>ru</w:t>
              </w:r>
            </w:hyperlink>
            <w:r>
              <w:rPr>
                <w:sz w:val="16"/>
                <w:szCs w:val="16"/>
              </w:rPr>
              <w:t xml:space="preserve">   </w:t>
            </w:r>
          </w:p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hyperlink r:id="rId4">
              <w:r>
                <w:rPr>
                  <w:color w:val="000000"/>
                  <w:sz w:val="16"/>
                  <w:szCs w:val="16"/>
                  <w:lang w:val="en-US"/>
                </w:rPr>
                <w:t>www</w:t>
              </w:r>
              <w:r>
                <w:rPr>
                  <w:color w:val="000000"/>
                  <w:sz w:val="16"/>
                  <w:szCs w:val="16"/>
                </w:rPr>
                <w:t>.21.</w:t>
              </w:r>
              <w:r>
                <w:rPr>
                  <w:color w:val="000000"/>
                  <w:sz w:val="16"/>
                  <w:szCs w:val="16"/>
                  <w:lang w:val="en-US"/>
                </w:rPr>
                <w:t>rospotrebnadzor</w:t>
              </w:r>
              <w:r>
                <w:rPr>
                  <w:color w:val="000000"/>
                  <w:sz w:val="16"/>
                  <w:szCs w:val="16"/>
                </w:rPr>
                <w:t>.</w:t>
              </w:r>
              <w:r>
                <w:rPr>
                  <w:color w:val="000000"/>
                  <w:sz w:val="16"/>
                  <w:szCs w:val="16"/>
                  <w:lang w:val="en-US"/>
                </w:rPr>
                <w:t>ru</w:t>
              </w:r>
            </w:hyperlink>
          </w:p>
          <w:p>
            <w:pPr>
              <w:pStyle w:val="Normal"/>
              <w:widowControl w:val="false"/>
              <w:spacing w:lineRule="exact" w:line="8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ОКПО 75694999, ОГРН 1052128023001, </w:t>
            </w:r>
          </w:p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ИНН/КПП  2129056878/213001001</w:t>
            </w:r>
          </w:p>
        </w:tc>
        <w:tc>
          <w:tcPr>
            <w:tcW w:w="1585" w:type="dxa"/>
            <w:tcBorders/>
          </w:tcPr>
          <w:p>
            <w:pPr>
              <w:pStyle w:val="Normal"/>
              <w:widowControl w:val="false"/>
              <w:snapToGrid w:val="false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4227" w:type="dxa"/>
            <w:vMerge w:val="continue"/>
            <w:tcBorders/>
          </w:tcPr>
          <w:p>
            <w:pPr>
              <w:pStyle w:val="Normal"/>
              <w:widowControl w:val="false"/>
              <w:snapToGrid w:val="false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  <w:tr>
        <w:trPr>
          <w:trHeight w:val="276" w:hRule="exact"/>
        </w:trPr>
        <w:tc>
          <w:tcPr>
            <w:tcW w:w="4253" w:type="dxa"/>
            <w:tcBorders/>
          </w:tcPr>
          <w:p>
            <w:pPr>
              <w:pStyle w:val="Normal"/>
              <w:widowControl w:val="false"/>
              <w:snapToGrid w:val="false"/>
              <w:rPr>
                <w:b/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</w:r>
          </w:p>
        </w:tc>
        <w:tc>
          <w:tcPr>
            <w:tcW w:w="1585" w:type="dxa"/>
            <w:tcBorders/>
          </w:tcPr>
          <w:p>
            <w:pPr>
              <w:pStyle w:val="Normal"/>
              <w:widowControl w:val="false"/>
              <w:snapToGrid w:val="false"/>
              <w:rPr>
                <w:b/>
                <w:b/>
                <w:sz w:val="16"/>
                <w:szCs w:val="16"/>
                <w:lang w:val="ru-RU" w:eastAsia="ru-RU"/>
              </w:rPr>
            </w:pPr>
            <w:r>
              <w:rPr>
                <w:b/>
                <w:sz w:val="16"/>
                <w:szCs w:val="16"/>
                <w:lang w:val="ru-RU" w:eastAsia="ru-RU"/>
              </w:rPr>
            </w:r>
          </w:p>
        </w:tc>
        <w:tc>
          <w:tcPr>
            <w:tcW w:w="4227" w:type="dxa"/>
            <w:tcBorders/>
          </w:tcPr>
          <w:p>
            <w:pPr>
              <w:pStyle w:val="Normal"/>
              <w:widowControl w:val="false"/>
              <w:snapToGrid w:val="false"/>
              <w:rPr>
                <w:b/>
                <w:b/>
                <w:sz w:val="28"/>
                <w:szCs w:val="28"/>
                <w:lang w:val="ru-RU" w:eastAsia="ru-RU"/>
              </w:rPr>
            </w:pPr>
            <w:r>
              <w:rPr>
                <w:b/>
                <w:sz w:val="28"/>
                <w:szCs w:val="28"/>
                <w:lang w:val="ru-RU" w:eastAsia="ru-RU"/>
              </w:rPr>
            </w:r>
          </w:p>
        </w:tc>
      </w:tr>
      <w:tr>
        <w:trPr>
          <w:trHeight w:val="865" w:hRule="exact"/>
        </w:trPr>
        <w:tc>
          <w:tcPr>
            <w:tcW w:w="4253" w:type="dxa"/>
            <w:tcBorders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 № _________________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sz w:val="22"/>
                <w:szCs w:val="22"/>
              </w:rPr>
              <w:t xml:space="preserve">На </w:t>
            </w:r>
            <w:r>
              <w:rPr>
                <w:sz w:val="22"/>
                <w:szCs w:val="22"/>
                <w:u w:val="single"/>
              </w:rPr>
              <w:t>№</w:t>
            </w: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u w:val="single"/>
                <w:lang w:val="ru-RU" w:eastAsia="zh-CN" w:bidi="ar-SA"/>
              </w:rPr>
              <w:t>29/А0701-869</w:t>
            </w:r>
            <w:r>
              <w:rPr>
                <w:sz w:val="22"/>
                <w:szCs w:val="22"/>
              </w:rPr>
              <w:t xml:space="preserve"> от </w:t>
            </w: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u w:val="single"/>
                <w:lang w:val="ru-RU" w:eastAsia="zh-CN" w:bidi="ar-SA"/>
              </w:rPr>
              <w:t>30</w:t>
            </w:r>
            <w:r>
              <w:rPr>
                <w:sz w:val="22"/>
                <w:szCs w:val="22"/>
                <w:u w:val="single"/>
              </w:rPr>
              <w:t>.</w:t>
            </w: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u w:val="single"/>
                <w:lang w:val="ru-RU" w:eastAsia="zh-CN" w:bidi="ar-SA"/>
              </w:rPr>
              <w:t>01</w:t>
            </w:r>
            <w:r>
              <w:rPr>
                <w:sz w:val="22"/>
                <w:szCs w:val="22"/>
                <w:u w:val="single"/>
              </w:rPr>
              <w:t>.202</w:t>
            </w: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u w:val="single"/>
                <w:lang w:val="ru-RU" w:eastAsia="zh-CN" w:bidi="ar-SA"/>
              </w:rPr>
              <w:t>6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</w:r>
          </w:p>
        </w:tc>
        <w:tc>
          <w:tcPr>
            <w:tcW w:w="1585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</w:r>
          </w:p>
        </w:tc>
        <w:tc>
          <w:tcPr>
            <w:tcW w:w="4227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</w:r>
          </w:p>
        </w:tc>
      </w:tr>
      <w:tr>
        <w:trPr/>
        <w:tc>
          <w:tcPr>
            <w:tcW w:w="5838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</w:r>
          </w:p>
          <w:p>
            <w:pPr>
              <w:pStyle w:val="Normal"/>
              <w:widowControl w:val="false"/>
              <w:rPr/>
            </w:pPr>
            <w:r>
              <w:rPr/>
              <w:t>О направлении информации</w:t>
            </w:r>
          </w:p>
        </w:tc>
        <w:tc>
          <w:tcPr>
            <w:tcW w:w="4227" w:type="dxa"/>
            <w:tcBorders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left="0" w:right="0" w:firstLine="708"/>
        <w:jc w:val="both"/>
        <w:rPr/>
      </w:pPr>
      <w:r>
        <w:rPr/>
        <w:t>Управление Роспотребнадзора по Чувашской Республике – Чувашии (далее - Управление) направляет информацию по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zh-CN" w:bidi="ar-SA"/>
        </w:rPr>
        <w:t xml:space="preserve"> второму вопросу повестки дня и предложения для включения в проект итогового протокола заседания Комиссии, которое состоится 10 февраля 2026 г.</w:t>
      </w:r>
    </w:p>
    <w:p>
      <w:pPr>
        <w:pStyle w:val="Normal"/>
        <w:suppressAutoHyphens w:val="true"/>
        <w:ind w:firstLine="697"/>
        <w:jc w:val="both"/>
        <w:rPr>
          <w:rFonts w:ascii="Times New Roman" w:hAnsi="Times New Roman"/>
        </w:rPr>
      </w:pPr>
      <w:r>
        <w:rPr/>
        <w:t xml:space="preserve">В своей деятельности Управление при организации государственного контроля (надзора) промышленных предприятий применяет риск-ориентированный подход. 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zh-CN" w:bidi="ar-SA"/>
        </w:rPr>
        <w:t>В</w:t>
      </w:r>
      <w:r>
        <w:rPr/>
        <w:t xml:space="preserve"> 202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zh-CN" w:bidi="ar-SA"/>
        </w:rPr>
        <w:t>5</w:t>
      </w:r>
      <w:r>
        <w:rPr/>
        <w:t xml:space="preserve"> год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zh-CN" w:bidi="ar-SA"/>
        </w:rPr>
        <w:t>у</w:t>
      </w:r>
      <w:r>
        <w:rPr/>
        <w:t xml:space="preserve"> Управлением проведены выездные плановые контрольно-надзорные мероприятия в отношении 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zh-CN" w:bidi="ar-SA"/>
        </w:rPr>
        <w:t>6</w:t>
      </w:r>
      <w:r>
        <w:rPr/>
        <w:t xml:space="preserve"> предприятий промышленности 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zh-CN" w:bidi="ar-SA"/>
        </w:rPr>
        <w:t>р</w:t>
      </w:r>
      <w:r>
        <w:rPr/>
        <w:t>еспублики, являющихся объектами чрезвычайно высокого, высокого рисков: АО НПО «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zh-CN" w:bidi="ar-SA"/>
        </w:rPr>
        <w:t>Каскад</w:t>
      </w:r>
      <w:r>
        <w:rPr/>
        <w:t>», ООО НПП «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zh-CN" w:bidi="ar-SA"/>
        </w:rPr>
        <w:t>ЭКРА</w:t>
      </w:r>
      <w:r>
        <w:rPr/>
        <w:t xml:space="preserve">», ГУП ЧР «ЧТУ» Минтранса Чувашии, 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zh-CN" w:bidi="ar-SA"/>
        </w:rPr>
        <w:t>А</w:t>
      </w:r>
      <w:r>
        <w:rPr/>
        <w:t>О «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zh-CN" w:bidi="ar-SA"/>
        </w:rPr>
        <w:t>ЧЭАЗ</w:t>
      </w:r>
      <w:r>
        <w:rPr/>
        <w:t>», ООО «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zh-CN" w:bidi="ar-SA"/>
        </w:rPr>
        <w:t>ЖБК №9</w:t>
      </w:r>
      <w:r>
        <w:rPr/>
        <w:t xml:space="preserve">», ООО «СУОР». 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rFonts w:cs="Times New Roman"/>
          <w:sz w:val="24"/>
          <w:szCs w:val="24"/>
        </w:rPr>
        <w:t xml:space="preserve">Основные нарушения обязательных требований, которые 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zh-CN" w:bidi="ar-SA"/>
        </w:rPr>
        <w:t>были выявлены</w:t>
      </w:r>
      <w:r>
        <w:rPr>
          <w:rFonts w:cs="Times New Roman"/>
          <w:sz w:val="24"/>
          <w:szCs w:val="24"/>
        </w:rPr>
        <w:t xml:space="preserve"> при проведении плановых выездных проверок: 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rFonts w:cs="Times New Roman"/>
          <w:bCs/>
          <w:sz w:val="24"/>
          <w:szCs w:val="24"/>
          <w:highlight w:val="white"/>
          <w:lang w:eastAsia="ru-RU" w:bidi="ru-RU"/>
        </w:rPr>
        <w:t xml:space="preserve">- </w:t>
      </w:r>
      <w:r>
        <w:rPr>
          <w:rFonts w:eastAsia="Times New Roman" w:cs="Times New Roman"/>
          <w:b w:val="false"/>
          <w:bCs/>
          <w:color w:val="000000"/>
          <w:sz w:val="24"/>
          <w:szCs w:val="24"/>
          <w:highlight w:val="white"/>
          <w:shd w:fill="FFFFFF" w:val="clear"/>
          <w:lang w:val="ru-RU" w:eastAsia="ru-RU" w:bidi="ar-SA"/>
        </w:rPr>
        <w:t xml:space="preserve">в программе производственного контроля не представлен перечень технологических процессов, при которых используются канцерогенные вещества (с указанием их наименования), а также не указано количество лиц, непосредственно контактирующих с данными веществами </w:t>
      </w:r>
      <w:r>
        <w:rPr>
          <w:rFonts w:eastAsia="Times New Roman" w:cs="Times New Roman"/>
          <w:b w:val="false"/>
          <w:bCs/>
          <w:color w:val="000000"/>
          <w:kern w:val="0"/>
          <w:sz w:val="24"/>
          <w:szCs w:val="24"/>
          <w:highlight w:val="white"/>
          <w:shd w:fill="FFFFFF" w:val="clear"/>
          <w:lang w:val="ru-RU" w:eastAsia="ru-RU" w:bidi="ar-SA"/>
        </w:rPr>
        <w:t>и занятых на соответствующих технологических процессах (</w:t>
      </w:r>
      <w:r>
        <w:rPr>
          <w:rFonts w:eastAsia="Times New Roman" w:cs="Times New Roman"/>
          <w:b w:val="false"/>
          <w:bCs/>
          <w:color w:val="000000"/>
          <w:kern w:val="0"/>
          <w:sz w:val="24"/>
          <w:szCs w:val="24"/>
          <w:highlight w:val="white"/>
          <w:shd w:fill="FFFFFF" w:val="clear"/>
          <w:lang w:val="ru-RU" w:eastAsia="zh-CN" w:bidi="ar-SA"/>
        </w:rPr>
        <w:t>АО НПО «</w:t>
      </w:r>
      <w:r>
        <w:rPr>
          <w:rFonts w:eastAsia="Calibri" w:cs="Times New Roman"/>
          <w:b w:val="false"/>
          <w:bCs/>
          <w:color w:val="000000"/>
          <w:kern w:val="0"/>
          <w:sz w:val="24"/>
          <w:szCs w:val="24"/>
          <w:highlight w:val="white"/>
          <w:shd w:fill="FFFFFF" w:val="clear"/>
          <w:lang w:val="ru-RU" w:eastAsia="zh-CN" w:bidi="ar-SA"/>
        </w:rPr>
        <w:t>Каскад</w:t>
      </w:r>
      <w:r>
        <w:rPr>
          <w:rFonts w:eastAsia="Times New Roman" w:cs="Times New Roman"/>
          <w:b w:val="false"/>
          <w:bCs/>
          <w:color w:val="000000"/>
          <w:kern w:val="0"/>
          <w:sz w:val="24"/>
          <w:szCs w:val="24"/>
          <w:highlight w:val="white"/>
          <w:shd w:fill="FFFFFF" w:val="clear"/>
          <w:lang w:val="ru-RU" w:eastAsia="zh-CN" w:bidi="ar-SA"/>
        </w:rPr>
        <w:t>»)</w:t>
      </w:r>
      <w:r>
        <w:rPr>
          <w:rFonts w:eastAsia="Times New Roman" w:cs="Times New Roman"/>
          <w:b w:val="false"/>
          <w:bCs/>
          <w:color w:val="000000"/>
          <w:kern w:val="0"/>
          <w:sz w:val="24"/>
          <w:szCs w:val="24"/>
          <w:highlight w:val="white"/>
          <w:shd w:fill="FFFFFF" w:val="clear"/>
          <w:lang w:val="ru-RU" w:eastAsia="ru-RU" w:bidi="ar-SA"/>
        </w:rPr>
        <w:t xml:space="preserve">; 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rFonts w:cs="Times New Roman"/>
          <w:bCs/>
          <w:sz w:val="24"/>
          <w:szCs w:val="24"/>
          <w:highlight w:val="white"/>
          <w:lang w:eastAsia="ru-RU" w:bidi="ru-RU"/>
        </w:rPr>
        <w:t>- рабочие не используют средства индивидуальной защиты органов слуха при наличии превышения допустимых уровней шума на рабочих местах (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highlight w:val="white"/>
          <w:shd w:fill="FFFFFF" w:val="clear"/>
          <w:lang w:val="ru-RU" w:eastAsia="ru-RU" w:bidi="ar-SA"/>
        </w:rPr>
        <w:t>ООО НПП «Э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highlight w:val="white"/>
          <w:shd w:fill="FFFFFF" w:val="clear"/>
          <w:lang w:val="ru-RU" w:eastAsia="ru-RU" w:bidi="ar-SA"/>
        </w:rPr>
        <w:t>кра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highlight w:val="white"/>
          <w:shd w:fill="FFFFFF" w:val="clear"/>
          <w:lang w:val="ru-RU" w:eastAsia="ru-RU" w:bidi="ar-SA"/>
        </w:rPr>
        <w:t>», ООО «СУОР»);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rFonts w:eastAsia="Times New Roman" w:cs="Times New Roman"/>
          <w:b w:val="false"/>
          <w:bCs/>
          <w:i w:val="false"/>
          <w:iCs w:val="false"/>
          <w:color w:val="000000"/>
          <w:kern w:val="0"/>
          <w:sz w:val="24"/>
          <w:szCs w:val="24"/>
          <w:highlight w:val="white"/>
          <w:shd w:fill="FFFFFF" w:val="clear"/>
          <w:lang w:val="ru-RU" w:eastAsia="zh-CN" w:bidi="ar-SA"/>
        </w:rPr>
        <w:t xml:space="preserve">- 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highlight w:val="white"/>
          <w:shd w:fill="FFFFFF" w:val="clear"/>
          <w:lang w:val="ru-RU" w:eastAsia="ru-RU" w:bidi="ar-SA"/>
        </w:rPr>
        <w:t>не обозначены знаками безопасности зоны с эквивалентным уровнем звука выше гигиенических нормативов сборочного цеха, механо-штамповочного цеха (АО «ЧЭАЗ»), а также производственные зоны (ООО «СУОР»);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bCs/>
          <w:sz w:val="24"/>
          <w:szCs w:val="24"/>
          <w:highlight w:val="white"/>
          <w:lang w:eastAsia="ru-RU" w:bidi="ru-RU"/>
        </w:rPr>
        <w:t>- недостаточная искусственная освещенность на рабочих местах</w:t>
      </w:r>
      <w:r>
        <w:rPr>
          <w:rFonts w:eastAsia="Times New Roman" w:cs="Times New Roman"/>
          <w:b w:val="false"/>
          <w:bCs/>
          <w:color w:val="000000"/>
          <w:kern w:val="0"/>
          <w:sz w:val="24"/>
          <w:szCs w:val="24"/>
          <w:highlight w:val="white"/>
          <w:shd w:fill="FFFFFF" w:val="clear"/>
          <w:lang w:val="ru-RU" w:eastAsia="zh-CN" w:bidi="ar-SA"/>
        </w:rPr>
        <w:t xml:space="preserve"> (АО НПО «</w:t>
      </w:r>
      <w:r>
        <w:rPr>
          <w:rFonts w:eastAsia="Calibri" w:cs="Times New Roman"/>
          <w:b w:val="false"/>
          <w:bCs/>
          <w:color w:val="000000"/>
          <w:kern w:val="0"/>
          <w:sz w:val="24"/>
          <w:szCs w:val="24"/>
          <w:highlight w:val="white"/>
          <w:shd w:fill="FFFFFF" w:val="clear"/>
          <w:lang w:val="ru-RU" w:eastAsia="zh-CN" w:bidi="ar-SA"/>
        </w:rPr>
        <w:t>Каскад</w:t>
      </w:r>
      <w:r>
        <w:rPr>
          <w:rFonts w:eastAsia="Times New Roman" w:cs="Times New Roman"/>
          <w:b w:val="false"/>
          <w:bCs/>
          <w:color w:val="000000"/>
          <w:kern w:val="0"/>
          <w:sz w:val="24"/>
          <w:szCs w:val="24"/>
          <w:highlight w:val="white"/>
          <w:shd w:fill="FFFFFF" w:val="clear"/>
          <w:lang w:val="ru-RU" w:eastAsia="zh-CN" w:bidi="ar-SA"/>
        </w:rPr>
        <w:t xml:space="preserve">», </w:t>
      </w:r>
      <w:r>
        <w:rPr>
          <w:rFonts w:eastAsia="Times New Roman" w:cs="Times New Roman"/>
          <w:b w:val="false"/>
          <w:bCs/>
          <w:i w:val="false"/>
          <w:iCs w:val="false"/>
          <w:color w:val="000000"/>
          <w:kern w:val="0"/>
          <w:sz w:val="24"/>
          <w:szCs w:val="24"/>
          <w:highlight w:val="white"/>
          <w:shd w:fill="FFFFFF" w:val="clear"/>
          <w:lang w:val="ru-RU" w:eastAsia="zh-CN" w:bidi="ar-SA"/>
        </w:rPr>
        <w:t>ГУП Чувашской Республики «ЧТУ» Минтранса Чувашии);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/>
          <w:b w:val="false"/>
          <w:bCs/>
          <w:i w:val="false"/>
          <w:iCs w:val="false"/>
          <w:color w:val="000000"/>
          <w:kern w:val="0"/>
          <w:sz w:val="24"/>
          <w:szCs w:val="24"/>
          <w:highlight w:val="white"/>
          <w:shd w:fill="FFFFFF" w:val="clear"/>
          <w:lang w:val="ru-RU" w:eastAsia="zh-CN" w:bidi="ar-SA"/>
        </w:rPr>
        <w:t xml:space="preserve">- отсутствует местная вытяжная вентиляция на рабочих местах, характеризующихся интенсивным выделением вредных веществ и пыли (ООО «СУОР»); 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rFonts w:cs="Times New Roman"/>
          <w:sz w:val="24"/>
          <w:szCs w:val="24"/>
          <w:highlight w:val="white"/>
          <w:lang w:eastAsia="ru-RU"/>
        </w:rPr>
        <w:t>- отделка пола и стен санитарно-бытовы</w:t>
      </w:r>
      <w:r>
        <w:rPr>
          <w:rFonts w:eastAsia="Calibri" w:cs="Times New Roman"/>
          <w:color w:val="auto"/>
          <w:kern w:val="0"/>
          <w:sz w:val="24"/>
          <w:szCs w:val="24"/>
          <w:highlight w:val="white"/>
          <w:lang w:val="ru-RU" w:eastAsia="ru-RU" w:bidi="ar-SA"/>
        </w:rPr>
        <w:t>х</w:t>
      </w:r>
      <w:r>
        <w:rPr>
          <w:rFonts w:cs="Times New Roman"/>
          <w:sz w:val="24"/>
          <w:szCs w:val="24"/>
          <w:highlight w:val="white"/>
          <w:lang w:eastAsia="ru-RU"/>
        </w:rPr>
        <w:t xml:space="preserve"> помещени</w:t>
      </w:r>
      <w:r>
        <w:rPr>
          <w:rFonts w:eastAsia="Calibri" w:cs="Times New Roman"/>
          <w:color w:val="auto"/>
          <w:kern w:val="0"/>
          <w:sz w:val="24"/>
          <w:szCs w:val="24"/>
          <w:highlight w:val="white"/>
          <w:lang w:val="ru-RU" w:eastAsia="ru-RU" w:bidi="ar-SA"/>
        </w:rPr>
        <w:t xml:space="preserve">й </w:t>
      </w:r>
      <w:r>
        <w:rPr>
          <w:rFonts w:cs="Times New Roman"/>
          <w:sz w:val="24"/>
          <w:szCs w:val="24"/>
          <w:highlight w:val="white"/>
          <w:lang w:eastAsia="ru-RU"/>
        </w:rPr>
        <w:t>не име</w:t>
      </w:r>
      <w:r>
        <w:rPr>
          <w:rFonts w:eastAsia="Calibri" w:cs="Times New Roman"/>
          <w:color w:val="auto"/>
          <w:kern w:val="0"/>
          <w:sz w:val="24"/>
          <w:szCs w:val="24"/>
          <w:highlight w:val="white"/>
          <w:lang w:val="ru-RU" w:eastAsia="ru-RU" w:bidi="ar-SA"/>
        </w:rPr>
        <w:t>ю</w:t>
      </w:r>
      <w:r>
        <w:rPr>
          <w:rFonts w:cs="Times New Roman"/>
          <w:sz w:val="24"/>
          <w:szCs w:val="24"/>
          <w:highlight w:val="white"/>
          <w:lang w:eastAsia="ru-RU"/>
        </w:rPr>
        <w:t>т покрытия из влагостойких материалов с гладкими поверхностями, устойчивых к воздействию моющих, дезинфицирующих средств (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highlight w:val="white"/>
          <w:shd w:fill="FFFFFF" w:val="clear"/>
          <w:lang w:val="ru-RU" w:eastAsia="ru-RU" w:bidi="ar-SA"/>
        </w:rPr>
        <w:t>ООО «ЖБК №9»</w:t>
      </w:r>
      <w:r>
        <w:rPr>
          <w:rFonts w:cs="Times New Roman"/>
          <w:sz w:val="24"/>
          <w:szCs w:val="24"/>
          <w:highlight w:val="white"/>
          <w:lang w:eastAsia="ru-RU"/>
        </w:rPr>
        <w:t>);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rFonts w:eastAsia="Calibri" w:cs="Times New Roman"/>
          <w:bCs/>
          <w:sz w:val="24"/>
          <w:szCs w:val="24"/>
          <w:highlight w:val="white"/>
          <w:lang w:eastAsia="ru-RU"/>
        </w:rPr>
        <w:t xml:space="preserve">- </w:t>
      </w:r>
      <w:r>
        <w:rPr>
          <w:rFonts w:eastAsia="Calibri" w:cs="Times New Roman"/>
          <w:bCs/>
          <w:color w:val="auto"/>
          <w:kern w:val="0"/>
          <w:sz w:val="24"/>
          <w:szCs w:val="24"/>
          <w:highlight w:val="white"/>
          <w:lang w:val="ru-RU" w:eastAsia="ru-RU" w:bidi="ar-SA"/>
        </w:rPr>
        <w:t>в</w:t>
      </w:r>
      <w:r>
        <w:rPr>
          <w:rFonts w:eastAsia="Calibri" w:cs="Times New Roman"/>
          <w:sz w:val="24"/>
          <w:szCs w:val="24"/>
          <w:highlight w:val="white"/>
          <w:lang w:eastAsia="ru-RU"/>
        </w:rPr>
        <w:t xml:space="preserve"> санузл</w:t>
      </w:r>
      <w:r>
        <w:rPr>
          <w:rFonts w:eastAsia="Calibri" w:cs="Times New Roman"/>
          <w:color w:val="auto"/>
          <w:kern w:val="0"/>
          <w:sz w:val="24"/>
          <w:szCs w:val="24"/>
          <w:highlight w:val="white"/>
          <w:lang w:val="ru-RU" w:eastAsia="ru-RU" w:bidi="ar-SA"/>
        </w:rPr>
        <w:t>ах</w:t>
      </w:r>
      <w:r>
        <w:rPr>
          <w:rFonts w:eastAsia="Calibri" w:cs="Times New Roman"/>
          <w:sz w:val="24"/>
          <w:szCs w:val="24"/>
          <w:highlight w:val="white"/>
          <w:lang w:eastAsia="ru-RU"/>
        </w:rPr>
        <w:t xml:space="preserve"> отсутствуют электрополотенц</w:t>
      </w:r>
      <w:r>
        <w:rPr>
          <w:rFonts w:eastAsia="Calibri" w:cs="Times New Roman"/>
          <w:color w:val="auto"/>
          <w:kern w:val="0"/>
          <w:sz w:val="24"/>
          <w:szCs w:val="24"/>
          <w:highlight w:val="white"/>
          <w:lang w:val="ru-RU" w:eastAsia="ru-RU" w:bidi="ar-SA"/>
        </w:rPr>
        <w:t>а</w:t>
      </w:r>
      <w:r>
        <w:rPr>
          <w:rFonts w:eastAsia="Calibri" w:cs="Times New Roman"/>
          <w:sz w:val="24"/>
          <w:szCs w:val="24"/>
          <w:highlight w:val="white"/>
          <w:lang w:eastAsia="ru-RU"/>
        </w:rPr>
        <w:t xml:space="preserve"> или полотенц</w:t>
      </w:r>
      <w:r>
        <w:rPr>
          <w:rFonts w:eastAsia="Calibri" w:cs="Times New Roman"/>
          <w:color w:val="auto"/>
          <w:kern w:val="0"/>
          <w:sz w:val="24"/>
          <w:szCs w:val="24"/>
          <w:highlight w:val="white"/>
          <w:lang w:val="ru-RU" w:eastAsia="ru-RU" w:bidi="ar-SA"/>
        </w:rPr>
        <w:t>а</w:t>
      </w:r>
      <w:r>
        <w:rPr>
          <w:rFonts w:eastAsia="Calibri" w:cs="Times New Roman"/>
          <w:sz w:val="24"/>
          <w:szCs w:val="24"/>
          <w:highlight w:val="white"/>
          <w:lang w:eastAsia="ru-RU"/>
        </w:rPr>
        <w:t xml:space="preserve"> разового пользования (</w:t>
      </w:r>
      <w:r>
        <w:rPr>
          <w:rFonts w:eastAsia="Times New Roman" w:cs="Times New Roman"/>
          <w:b w:val="false"/>
          <w:bCs/>
          <w:i w:val="false"/>
          <w:iCs w:val="false"/>
          <w:color w:val="000000"/>
          <w:kern w:val="0"/>
          <w:sz w:val="24"/>
          <w:szCs w:val="24"/>
          <w:highlight w:val="white"/>
          <w:shd w:fill="FFFFFF" w:val="clear"/>
          <w:lang w:val="ru-RU" w:eastAsia="zh-CN" w:bidi="ar-SA"/>
        </w:rPr>
        <w:t>ГУП Чувашской Республики «ЧТУ» Минтранса Чувашии</w:t>
      </w:r>
      <w:r>
        <w:rPr>
          <w:rFonts w:eastAsia="Calibri" w:cs="Times New Roman"/>
          <w:b w:val="false"/>
          <w:bCs/>
          <w:i w:val="false"/>
          <w:iCs w:val="false"/>
          <w:color w:val="000000"/>
          <w:kern w:val="0"/>
          <w:sz w:val="24"/>
          <w:szCs w:val="24"/>
          <w:highlight w:val="white"/>
          <w:shd w:fill="FFFFFF" w:val="clear"/>
          <w:lang w:val="ru-RU" w:eastAsia="ru-RU" w:bidi="ar-SA"/>
        </w:rPr>
        <w:t xml:space="preserve">, </w:t>
      </w:r>
      <w:r>
        <w:rPr>
          <w:rFonts w:eastAsia="Times New Roman" w:cs="Times New Roman"/>
          <w:b w:val="false"/>
          <w:bCs w:val="false"/>
          <w:color w:val="000000"/>
          <w:kern w:val="0"/>
          <w:sz w:val="24"/>
          <w:szCs w:val="24"/>
          <w:highlight w:val="white"/>
          <w:shd w:fill="FFFFFF" w:val="clear"/>
          <w:lang w:val="ru-RU" w:eastAsia="ru-RU" w:bidi="ar-SA"/>
        </w:rPr>
        <w:t>ООО «ЖБК №9»);</w:t>
      </w:r>
    </w:p>
    <w:p>
      <w:pPr>
        <w:pStyle w:val="Normal"/>
        <w:suppressAutoHyphens w:val="true"/>
        <w:ind w:firstLine="708"/>
        <w:jc w:val="both"/>
        <w:rPr>
          <w:sz w:val="16"/>
          <w:szCs w:val="16"/>
        </w:rPr>
      </w:pPr>
      <w:r>
        <w:rPr>
          <w:rFonts w:cs="Times New Roman"/>
          <w:bCs/>
          <w:sz w:val="24"/>
          <w:szCs w:val="24"/>
          <w:highlight w:val="white"/>
          <w:lang w:bidi="ru-RU"/>
        </w:rPr>
        <w:t xml:space="preserve">- поверхности окон, </w:t>
      </w:r>
      <w:r>
        <w:rPr>
          <w:rFonts w:eastAsia="Times New Roman" w:cs="Times New Roman"/>
          <w:b w:val="false"/>
          <w:bCs/>
          <w:i w:val="false"/>
          <w:iCs w:val="false"/>
          <w:color w:val="000000"/>
          <w:kern w:val="0"/>
          <w:sz w:val="24"/>
          <w:szCs w:val="24"/>
          <w:highlight w:val="white"/>
          <w:shd w:fill="FFFFFF" w:val="clear"/>
          <w:lang w:val="ru-RU" w:eastAsia="zh-CN" w:bidi="ar-SA"/>
        </w:rPr>
        <w:t xml:space="preserve">светоаэрационные фонари, </w:t>
      </w:r>
      <w:r>
        <w:rPr>
          <w:rFonts w:cs="Times New Roman"/>
          <w:bCs/>
          <w:sz w:val="24"/>
          <w:szCs w:val="24"/>
          <w:highlight w:val="white"/>
          <w:lang w:bidi="ru-RU"/>
        </w:rPr>
        <w:t>вытяжны</w:t>
      </w:r>
      <w:r>
        <w:rPr>
          <w:rFonts w:eastAsia="Calibri" w:cs="Times New Roman"/>
          <w:bCs/>
          <w:color w:val="auto"/>
          <w:kern w:val="0"/>
          <w:sz w:val="24"/>
          <w:szCs w:val="24"/>
          <w:highlight w:val="white"/>
          <w:lang w:val="ru-RU" w:eastAsia="zh-CN" w:bidi="ru-RU"/>
        </w:rPr>
        <w:t xml:space="preserve">е </w:t>
      </w:r>
      <w:r>
        <w:rPr>
          <w:rFonts w:cs="Times New Roman"/>
          <w:bCs/>
          <w:sz w:val="24"/>
          <w:szCs w:val="24"/>
          <w:highlight w:val="white"/>
          <w:lang w:bidi="ru-RU"/>
        </w:rPr>
        <w:t>зонт</w:t>
      </w:r>
      <w:r>
        <w:rPr>
          <w:rFonts w:eastAsia="Calibri" w:cs="Times New Roman"/>
          <w:bCs/>
          <w:color w:val="auto"/>
          <w:kern w:val="0"/>
          <w:sz w:val="24"/>
          <w:szCs w:val="24"/>
          <w:highlight w:val="white"/>
          <w:lang w:val="ru-RU" w:eastAsia="zh-CN" w:bidi="ru-RU"/>
        </w:rPr>
        <w:t>ы</w:t>
      </w:r>
      <w:r>
        <w:rPr>
          <w:rFonts w:cs="Times New Roman"/>
          <w:bCs/>
          <w:sz w:val="24"/>
          <w:szCs w:val="24"/>
          <w:highlight w:val="white"/>
          <w:lang w:bidi="ru-RU"/>
        </w:rPr>
        <w:t xml:space="preserve"> помещений цех</w:t>
      </w:r>
      <w:r>
        <w:rPr>
          <w:rFonts w:eastAsia="Calibri" w:cs="Times New Roman"/>
          <w:bCs/>
          <w:color w:val="auto"/>
          <w:kern w:val="0"/>
          <w:sz w:val="24"/>
          <w:szCs w:val="24"/>
          <w:highlight w:val="white"/>
          <w:lang w:val="ru-RU" w:eastAsia="zh-CN" w:bidi="ar-SA"/>
        </w:rPr>
        <w:t>ов</w:t>
      </w:r>
      <w:r>
        <w:rPr>
          <w:rFonts w:cs="Times New Roman"/>
          <w:bCs/>
          <w:sz w:val="24"/>
          <w:szCs w:val="24"/>
          <w:highlight w:val="white"/>
          <w:lang w:bidi="ru-RU"/>
        </w:rPr>
        <w:t xml:space="preserve"> загрязнены пылью, не проводится их регулярная очистка (</w:t>
      </w:r>
      <w:r>
        <w:rPr>
          <w:rFonts w:eastAsia="Times New Roman" w:cs="Times New Roman"/>
          <w:b w:val="false"/>
          <w:bCs/>
          <w:color w:val="000000"/>
          <w:kern w:val="0"/>
          <w:sz w:val="24"/>
          <w:szCs w:val="24"/>
          <w:highlight w:val="white"/>
          <w:shd w:fill="FFFFFF" w:val="clear"/>
          <w:lang w:val="ru-RU" w:eastAsia="zh-CN" w:bidi="ar-SA"/>
        </w:rPr>
        <w:t>ООО НПП «Экра»</w:t>
      </w:r>
      <w:r>
        <w:rPr>
          <w:rFonts w:eastAsia="Times New Roman" w:cs="Times New Roman"/>
          <w:b w:val="false"/>
          <w:bCs/>
          <w:color w:val="000000"/>
          <w:kern w:val="0"/>
          <w:sz w:val="24"/>
          <w:szCs w:val="24"/>
          <w:highlight w:val="white"/>
          <w:shd w:fill="FFFFFF" w:val="clear"/>
          <w:lang w:val="ru-RU" w:eastAsia="ru-RU" w:bidi="ru-RU"/>
        </w:rPr>
        <w:t xml:space="preserve">, </w:t>
      </w:r>
      <w:r>
        <w:rPr>
          <w:rFonts w:eastAsia="Times New Roman" w:cs="Times New Roman"/>
          <w:b w:val="false"/>
          <w:bCs/>
          <w:i w:val="false"/>
          <w:iCs w:val="false"/>
          <w:color w:val="000000"/>
          <w:kern w:val="0"/>
          <w:sz w:val="24"/>
          <w:szCs w:val="24"/>
          <w:highlight w:val="white"/>
          <w:shd w:fill="FFFFFF" w:val="clear"/>
          <w:lang w:val="ru-RU" w:eastAsia="zh-CN" w:bidi="ar-SA"/>
        </w:rPr>
        <w:t>ГУП Чувашской Республики «ЧТУ» Минтранса Чувашии, ООО «СУОР»).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По результатам контрольно-надзорных мероприятий в отношении юридических лиц составлено 6 протоколов об административном правонарушении: 2 протокола по ч.1 ст.6.3 КоАП РФ и 4 протокола по ст.6.4 КоАП РФ. Вынесено 6 постановлений о назначении административных штрафов в размере 40000 рублей, 6 представлений об устранении причин и условий, способствовавших совершению административного правонарушения. </w:t>
      </w:r>
      <w:r>
        <w:rPr>
          <w:rFonts w:eastAsia="Times New Roman" w:cs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Руководителям предприятий и организаций Чувашской Республики направлены предписания об устранении выявленных нарушений санитарно-эпидемиологических требований. Сроки исполнения находятся на контрол</w:t>
      </w: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zh-CN" w:bidi="ar-SA"/>
        </w:rPr>
        <w:t>е</w:t>
      </w:r>
      <w:r>
        <w:rPr>
          <w:rFonts w:eastAsia="Times New Roman" w:cs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 xml:space="preserve"> Управления.</w:t>
      </w:r>
    </w:p>
    <w:p>
      <w:pPr>
        <w:pStyle w:val="Normal"/>
        <w:suppressAutoHyphens w:val="true"/>
        <w:ind w:firstLine="697"/>
        <w:jc w:val="both"/>
        <w:rPr>
          <w:rFonts w:ascii="Times New Roman" w:hAnsi="Times New Roman" w:eastAsia="Times New Roman"/>
          <w:bCs/>
          <w:szCs w:val="20"/>
        </w:rPr>
      </w:pPr>
      <w:r>
        <w:rPr>
          <w:rFonts w:eastAsia="Calibri" w:cs="Times New Roman"/>
          <w:bCs/>
          <w:color w:val="auto"/>
          <w:kern w:val="0"/>
          <w:sz w:val="24"/>
          <w:szCs w:val="24"/>
          <w:lang w:val="ru-RU" w:eastAsia="zh-CN" w:bidi="ar-SA"/>
        </w:rPr>
        <w:t>За текущий период</w:t>
      </w:r>
      <w:r>
        <w:rPr>
          <w:rFonts w:eastAsia="Times New Roman"/>
          <w:bCs/>
          <w:szCs w:val="20"/>
        </w:rPr>
        <w:t xml:space="preserve"> 2025 году Управлением проведено расследование </w:t>
      </w:r>
      <w:r>
        <w:rPr>
          <w:rFonts w:eastAsia="Times New Roman" w:cs="Times New Roman"/>
          <w:bCs/>
          <w:color w:val="000000"/>
          <w:kern w:val="0"/>
          <w:sz w:val="24"/>
          <w:szCs w:val="20"/>
          <w:lang w:val="ru-RU" w:eastAsia="zh-CN" w:bidi="ar-SA"/>
        </w:rPr>
        <w:t>4</w:t>
      </w:r>
      <w:r>
        <w:rPr>
          <w:rFonts w:eastAsia="Times New Roman"/>
          <w:bCs/>
          <w:color w:val="000000"/>
          <w:szCs w:val="20"/>
        </w:rPr>
        <w:t xml:space="preserve"> случаев профессиональн</w:t>
      </w:r>
      <w:r>
        <w:rPr>
          <w:rFonts w:eastAsia="Calibri"/>
          <w:bCs/>
          <w:color w:val="000000"/>
          <w:lang w:eastAsia="zh-CN"/>
        </w:rPr>
        <w:t>ых</w:t>
      </w:r>
      <w:r>
        <w:rPr>
          <w:rFonts w:eastAsia="Times New Roman"/>
          <w:bCs/>
          <w:color w:val="000000"/>
          <w:szCs w:val="20"/>
        </w:rPr>
        <w:t xml:space="preserve"> заболеваний работников предприятий Чувашской Республики. Составлено </w:t>
      </w:r>
      <w:r>
        <w:rPr>
          <w:rFonts w:eastAsia="Times New Roman" w:cs="Times New Roman"/>
          <w:bCs/>
          <w:color w:val="000000"/>
          <w:kern w:val="0"/>
          <w:sz w:val="24"/>
          <w:szCs w:val="20"/>
          <w:lang w:val="ru-RU" w:eastAsia="zh-CN" w:bidi="ar-SA"/>
        </w:rPr>
        <w:t>10</w:t>
      </w:r>
      <w:r>
        <w:rPr>
          <w:rFonts w:eastAsia="Times New Roman"/>
          <w:bCs/>
          <w:szCs w:val="20"/>
        </w:rPr>
        <w:t xml:space="preserve"> санитарно-гигиенически</w:t>
      </w:r>
      <w:r>
        <w:rPr>
          <w:rFonts w:eastAsia="Times New Roman"/>
          <w:bCs/>
          <w:color w:val="000000"/>
          <w:szCs w:val="20"/>
        </w:rPr>
        <w:t>х</w:t>
      </w:r>
      <w:r>
        <w:rPr>
          <w:rFonts w:eastAsia="Times New Roman"/>
          <w:bCs/>
          <w:szCs w:val="20"/>
        </w:rPr>
        <w:t xml:space="preserve"> характеристик условий труда </w:t>
      </w:r>
      <w:r>
        <w:rPr>
          <w:rFonts w:eastAsia="Times New Roman"/>
          <w:bCs/>
          <w:color w:val="000000"/>
          <w:szCs w:val="20"/>
        </w:rPr>
        <w:t>(в 202</w:t>
      </w:r>
      <w:r>
        <w:rPr>
          <w:rFonts w:eastAsia="Times New Roman" w:cs="Times New Roman"/>
          <w:bCs/>
          <w:color w:val="000000"/>
          <w:kern w:val="0"/>
          <w:sz w:val="24"/>
          <w:szCs w:val="20"/>
          <w:lang w:val="ru-RU" w:eastAsia="zh-CN" w:bidi="ar-SA"/>
        </w:rPr>
        <w:t>4</w:t>
      </w:r>
      <w:r>
        <w:rPr>
          <w:rFonts w:eastAsia="Times New Roman"/>
          <w:bCs/>
          <w:color w:val="000000"/>
          <w:szCs w:val="20"/>
        </w:rPr>
        <w:t xml:space="preserve"> году - </w:t>
      </w:r>
      <w:r>
        <w:rPr>
          <w:rFonts w:eastAsia="Times New Roman" w:cs="Times New Roman"/>
          <w:bCs/>
          <w:color w:val="000000"/>
          <w:kern w:val="0"/>
          <w:sz w:val="24"/>
          <w:szCs w:val="20"/>
          <w:lang w:val="ru-RU" w:eastAsia="zh-CN" w:bidi="ar-SA"/>
        </w:rPr>
        <w:t>8</w:t>
      </w:r>
      <w:r>
        <w:rPr>
          <w:rFonts w:eastAsia="Times New Roman"/>
          <w:bCs/>
          <w:color w:val="000000"/>
          <w:szCs w:val="20"/>
        </w:rPr>
        <w:t xml:space="preserve"> случаев, </w:t>
      </w:r>
      <w:r>
        <w:rPr>
          <w:rFonts w:eastAsia="Times New Roman"/>
          <w:bCs/>
          <w:szCs w:val="20"/>
        </w:rPr>
        <w:t>202</w:t>
      </w:r>
      <w:r>
        <w:rPr>
          <w:rFonts w:eastAsia="Times New Roman" w:cs="Times New Roman"/>
          <w:bCs/>
          <w:color w:val="auto"/>
          <w:kern w:val="0"/>
          <w:sz w:val="24"/>
          <w:szCs w:val="20"/>
          <w:lang w:val="ru-RU" w:eastAsia="zh-CN" w:bidi="ar-SA"/>
        </w:rPr>
        <w:t>3</w:t>
      </w:r>
      <w:r>
        <w:rPr>
          <w:rFonts w:eastAsia="Times New Roman"/>
          <w:bCs/>
          <w:szCs w:val="20"/>
        </w:rPr>
        <w:t xml:space="preserve"> году - </w:t>
      </w:r>
      <w:r>
        <w:rPr>
          <w:rFonts w:eastAsia="Times New Roman" w:cs="Times New Roman"/>
          <w:bCs/>
          <w:color w:val="auto"/>
          <w:kern w:val="0"/>
          <w:sz w:val="24"/>
          <w:szCs w:val="20"/>
          <w:lang w:val="ru-RU" w:eastAsia="zh-CN" w:bidi="ar-SA"/>
        </w:rPr>
        <w:t>7</w:t>
      </w:r>
      <w:r>
        <w:rPr>
          <w:rFonts w:eastAsia="Times New Roman"/>
          <w:bCs/>
          <w:szCs w:val="20"/>
        </w:rPr>
        <w:t xml:space="preserve"> случаев). 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zh-CN" w:bidi="ar-SA"/>
        </w:rPr>
        <w:t>В структуре профессиональных заболеваний ведущее место продолжают занимать заболевания органов дыхания, связанные с воздействием высоко- и умереннофиброгенной пыли, химических веществ (силикоз). Все заболевшие это рабочие, работающие ранее на литейном производстве (ООО «Промтрактор-Промлит», ОАО «ЧАЗ») с длительным стажем работы (более 10 лет). Вредный фактор - пыль с содержанием SiO</w:t>
      </w:r>
      <w:r>
        <w:rPr>
          <w:rFonts w:eastAsia="Calibri" w:cs="Times New Roman"/>
          <w:color w:val="auto"/>
          <w:kern w:val="0"/>
          <w:sz w:val="24"/>
          <w:szCs w:val="24"/>
          <w:vertAlign w:val="subscript"/>
          <w:lang w:val="ru-RU" w:eastAsia="zh-CN" w:bidi="ar-SA"/>
        </w:rPr>
        <w:t>2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zh-CN" w:bidi="ar-SA"/>
        </w:rPr>
        <w:t xml:space="preserve"> 20-70%. Причина возникновения профессиональных заболеваний связана с несовершенством технологического процесса на предприятиях, низким уровнем механизации и автоматизации на производстве, неудовлетворительной работой систем механической вентиляции, длительным стажем работы (более 10 лет).</w:t>
      </w:r>
    </w:p>
    <w:p>
      <w:pPr>
        <w:pStyle w:val="Normal"/>
        <w:ind w:left="0" w:right="0" w:firstLine="708"/>
        <w:jc w:val="both"/>
        <w:rPr/>
      </w:pPr>
      <w:r>
        <w:rPr/>
        <w:t xml:space="preserve">Управлением по приказу Федеральной службы по надзору в сфере защиты прав потребителей и благополучия человека проведены </w:t>
      </w:r>
      <w:r>
        <w:rPr/>
        <w:t>2</w:t>
      </w:r>
      <w:r>
        <w:rPr/>
        <w:t xml:space="preserve"> внеплановых выездных проверки производителей обуви в 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zh-CN" w:bidi="ar-SA"/>
        </w:rPr>
        <w:t>г.Чебоксары</w:t>
      </w:r>
      <w:r>
        <w:rPr/>
        <w:t>: ИП Ванюшин В.В., ИП Петров С.Я</w:t>
      </w:r>
      <w:r>
        <w:rPr>
          <w:rFonts w:eastAsia="Calibri" w:cs="Times New Roman"/>
          <w:color w:val="auto"/>
          <w:sz w:val="24"/>
          <w:szCs w:val="24"/>
          <w:lang w:val="ru-RU" w:eastAsia="zh-CN" w:bidi="ar-SA"/>
        </w:rPr>
        <w:t>.</w:t>
      </w:r>
      <w:r>
        <w:rPr>
          <w:rFonts w:eastAsia="Calibri" w:cs="Times New Roman"/>
          <w:bCs/>
          <w:color w:val="auto"/>
          <w:kern w:val="0"/>
          <w:sz w:val="24"/>
          <w:szCs w:val="24"/>
          <w:lang w:val="ru-RU" w:eastAsia="en-US" w:bidi="ar-SA"/>
        </w:rPr>
        <w:t xml:space="preserve"> </w:t>
      </w:r>
      <w:r>
        <w:rPr>
          <w:rFonts w:eastAsia="Times New Roman" w:cs="Times New Roman"/>
          <w:bCs/>
          <w:color w:val="auto"/>
          <w:kern w:val="0"/>
          <w:sz w:val="24"/>
          <w:szCs w:val="20"/>
          <w:lang w:val="ru-RU" w:eastAsia="zh-CN" w:bidi="ar-SA"/>
        </w:rPr>
        <w:t>По результатам проведения проверки выявлены следующие наруше</w:t>
      </w:r>
      <w:r>
        <w:rPr>
          <w:rFonts w:eastAsia="Times New Roman" w:cs="Times New Roman"/>
          <w:bCs/>
          <w:color w:val="000000"/>
          <w:kern w:val="0"/>
          <w:sz w:val="24"/>
          <w:szCs w:val="24"/>
          <w:lang w:val="ru-RU" w:eastAsia="zh-CN" w:bidi="ar-SA"/>
        </w:rPr>
        <w:t xml:space="preserve">ния: </w:t>
      </w:r>
    </w:p>
    <w:p>
      <w:pPr>
        <w:pStyle w:val="Normal"/>
        <w:ind w:left="0" w:right="0" w:firstLine="708"/>
        <w:jc w:val="both"/>
        <w:rPr/>
      </w:pPr>
      <w:r>
        <w:rPr>
          <w:rFonts w:eastAsia="Times New Roman" w:cs="Times New Roman"/>
          <w:bCs/>
          <w:color w:val="000000"/>
          <w:kern w:val="0"/>
          <w:sz w:val="24"/>
          <w:szCs w:val="24"/>
          <w:lang w:val="ru-RU" w:eastAsia="zh-CN" w:bidi="ar-SA"/>
        </w:rPr>
        <w:t>- не р</w:t>
      </w:r>
      <w:r>
        <w:rPr>
          <w:rFonts w:eastAsia="Times New Roman" w:cs="Times New Roman"/>
          <w:b w:val="false"/>
          <w:bCs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highlight w:val="white"/>
          <w:shd w:fill="FFFFFF" w:val="clear"/>
          <w:lang w:val="ru-RU" w:eastAsia="zh-CN" w:bidi="ar-SA"/>
        </w:rPr>
        <w:t>азработана п</w:t>
      </w:r>
      <w:r>
        <w:rPr>
          <w:rFonts w:eastAsia="Times New Roman" w:cs="Times New Roman"/>
          <w:b w:val="false"/>
          <w:bCs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highlight w:val="white"/>
          <w:shd w:fill="FFFFFF" w:val="clear"/>
          <w:lang w:val="ru-RU" w:eastAsia="zh-TW" w:bidi="ar-SA"/>
        </w:rPr>
        <w:t>рограмма производственного контроля за условиями труда, не проводятся лабораторные исследования и измерения факторов производственной среды в рамках производственного контроля (ИП Ванюшин В.В, ИП Петров С.Я);</w:t>
      </w:r>
    </w:p>
    <w:p>
      <w:pPr>
        <w:pStyle w:val="Normal"/>
        <w:ind w:left="0" w:right="0" w:firstLine="708"/>
        <w:jc w:val="both"/>
        <w:rPr/>
      </w:pPr>
      <w:r>
        <w:rPr>
          <w:rFonts w:eastAsia="Times New Roman" w:cs="Times New Roman"/>
          <w:b w:val="false"/>
          <w:bCs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highlight w:val="white"/>
          <w:shd w:fill="FFFFFF" w:val="clear"/>
          <w:lang w:val="ru-RU" w:eastAsia="zh-TW" w:bidi="ar-SA"/>
        </w:rPr>
        <w:t>- в гардеробных не предусмотрено раздельное хранение рабочей и личной одежды (ИП Петров С.Я);</w:t>
      </w:r>
    </w:p>
    <w:p>
      <w:pPr>
        <w:pStyle w:val="Normal"/>
        <w:ind w:left="0" w:right="0" w:firstLine="708"/>
        <w:jc w:val="both"/>
        <w:rPr/>
      </w:pPr>
      <w:r>
        <w:rPr>
          <w:rFonts w:eastAsia="Times New Roman" w:cs="Times New Roman"/>
          <w:b w:val="false"/>
          <w:bCs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highlight w:val="white"/>
          <w:shd w:fill="FFFFFF" w:val="clear"/>
          <w:lang w:val="ru-RU" w:eastAsia="zh-TW" w:bidi="ar-SA"/>
        </w:rPr>
        <w:t>- тамбуры санузлов не оснащены электрополотенцами или полотенцами разового пользования (ИП Петров С.Я);</w:t>
      </w:r>
    </w:p>
    <w:p>
      <w:pPr>
        <w:pStyle w:val="Normal"/>
        <w:ind w:left="0" w:right="0" w:firstLine="708"/>
        <w:jc w:val="both"/>
        <w:rPr/>
      </w:pPr>
      <w:r>
        <w:rPr>
          <w:rFonts w:eastAsia="Times New Roman" w:cs="Times New Roman"/>
          <w:b w:val="false"/>
          <w:bCs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highlight w:val="white"/>
          <w:shd w:fill="FFFFFF" w:val="clear"/>
          <w:lang w:val="ru-RU" w:eastAsia="zh-TW" w:bidi="ar-SA"/>
        </w:rPr>
        <w:t>- не организова</w:t>
      </w:r>
      <w:r>
        <w:rPr>
          <w:rFonts w:eastAsia="Times New Roman" w:cs="Times New Roman CYR"/>
          <w:b w:val="false"/>
          <w:bCs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highlight w:val="white"/>
          <w:shd w:fill="FFFFFF" w:val="clear"/>
          <w:lang w:val="ru-RU" w:eastAsia="zh-CN" w:bidi="ar-SA"/>
        </w:rPr>
        <w:t>но</w:t>
      </w:r>
      <w:r>
        <w:rPr>
          <w:rFonts w:eastAsia="Times New Roman" w:cs="Times New Roman"/>
          <w:b w:val="false"/>
          <w:bCs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highlight w:val="white"/>
          <w:shd w:fill="FFFFFF" w:val="clear"/>
          <w:lang w:val="ru-RU" w:eastAsia="zh-TW" w:bidi="ar-SA"/>
        </w:rPr>
        <w:t xml:space="preserve"> помещени</w:t>
      </w:r>
      <w:r>
        <w:rPr>
          <w:rFonts w:eastAsia="Times New Roman" w:cs="Times New Roman CYR"/>
          <w:b w:val="false"/>
          <w:bCs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highlight w:val="white"/>
          <w:shd w:fill="FFFFFF" w:val="clear"/>
          <w:lang w:val="ru-RU" w:eastAsia="zh-CN" w:bidi="ar-SA"/>
        </w:rPr>
        <w:t>е</w:t>
      </w:r>
      <w:r>
        <w:rPr>
          <w:rFonts w:eastAsia="Times New Roman" w:cs="Times New Roman"/>
          <w:b w:val="false"/>
          <w:bCs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highlight w:val="white"/>
          <w:shd w:fill="FFFFFF" w:val="clear"/>
          <w:lang w:val="ru-RU" w:eastAsia="zh-TW" w:bidi="ar-SA"/>
        </w:rPr>
        <w:t xml:space="preserve"> для приёма пищи </w:t>
      </w:r>
      <w:r>
        <w:rPr>
          <w:rFonts w:eastAsia="Calibri" w:cs="Times New Roman"/>
          <w:b w:val="false"/>
          <w:bCs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highlight w:val="white"/>
          <w:shd w:fill="FFFFFF" w:val="clear"/>
          <w:lang w:val="ru-RU" w:eastAsia="en-US" w:bidi="ar-SA"/>
        </w:rPr>
        <w:t xml:space="preserve">работниками </w:t>
      </w:r>
      <w:r>
        <w:rPr>
          <w:rFonts w:eastAsia="Times New Roman" w:cs="Times New Roman"/>
          <w:b w:val="false"/>
          <w:bCs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highlight w:val="white"/>
          <w:shd w:fill="FFFFFF" w:val="clear"/>
          <w:lang w:val="ru-RU" w:eastAsia="zh-TW" w:bidi="ar-SA"/>
        </w:rPr>
        <w:t>(ИП Петров С.Я)</w:t>
      </w:r>
      <w:r>
        <w:rPr>
          <w:rFonts w:eastAsia="Calibri" w:cs="Times New Roman"/>
          <w:b w:val="false"/>
          <w:bCs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highlight w:val="white"/>
          <w:shd w:fill="FFFFFF" w:val="clear"/>
          <w:lang w:val="ru-RU" w:eastAsia="en-US" w:bidi="ar-SA"/>
        </w:rPr>
        <w:t>.</w:t>
      </w:r>
    </w:p>
    <w:p>
      <w:pPr>
        <w:pStyle w:val="Normal"/>
        <w:tabs>
          <w:tab w:val="clear" w:pos="708"/>
          <w:tab w:val="left" w:pos="709" w:leader="none"/>
        </w:tabs>
        <w:suppressAutoHyphens w:val="true"/>
        <w:ind w:left="0" w:right="0" w:firstLine="708"/>
        <w:jc w:val="both"/>
        <w:rPr>
          <w:rFonts w:eastAsia="Calibri" w:cs="Times New Roman"/>
          <w:color w:val="auto"/>
          <w:sz w:val="24"/>
          <w:szCs w:val="24"/>
          <w:lang w:val="ru-RU" w:eastAsia="zh-CN" w:bidi="ar-SA"/>
        </w:rPr>
      </w:pPr>
      <w:r>
        <w:rPr>
          <w:rFonts w:eastAsia="Calibri" w:cs="Times New Roman"/>
          <w:bCs/>
          <w:color w:val="auto"/>
          <w:kern w:val="0"/>
          <w:sz w:val="24"/>
          <w:szCs w:val="24"/>
          <w:lang w:val="ru-RU" w:eastAsia="zh-CN" w:bidi="ar-SA"/>
        </w:rPr>
        <w:t>В отношении индивидуальных предпринимателей и должностного лица составлено 3 протокола об административном правонарушении: 2 протокола по ч.1 ст.6.3 КоАП РФ и 1 протокол по ст.6.4 КоАП РФ, выданы предписания об устранении выявленных нарушений санитарно-эпидемиологических требований. Сроки находятся на контроле Управления. По результатам рассмотрения административных дел в</w:t>
      </w:r>
      <w:r>
        <w:rPr>
          <w:rFonts w:eastAsia="Times New Roman" w:cs="Times New Roman"/>
          <w:bCs/>
          <w:color w:val="auto"/>
          <w:kern w:val="0"/>
          <w:sz w:val="24"/>
          <w:szCs w:val="24"/>
          <w:lang w:val="ru-RU" w:eastAsia="ru-RU" w:bidi="ar-SA"/>
        </w:rPr>
        <w:t>ынесено 3 постановления о назначении административных штрафов.</w:t>
      </w:r>
    </w:p>
    <w:p>
      <w:pPr>
        <w:pStyle w:val="Normal"/>
        <w:ind w:firstLine="709"/>
        <w:jc w:val="both"/>
        <w:rPr/>
      </w:pPr>
      <w:r>
        <w:rPr/>
        <w:t xml:space="preserve">В целях обеспечения санитарно-эпидемиологического благополучия на предприятиях </w:t>
      </w:r>
      <w:r>
        <w:rPr/>
        <w:t>г.Чебоксары</w:t>
      </w:r>
      <w:r>
        <w:rPr/>
        <w:t xml:space="preserve"> Управление рекомендует р</w:t>
      </w:r>
      <w:r>
        <w:rPr>
          <w:color w:val="000000"/>
        </w:rPr>
        <w:t>уководителям предприятий и организаций всех форм собственности:</w:t>
      </w:r>
    </w:p>
    <w:p>
      <w:pPr>
        <w:pStyle w:val="Style31"/>
        <w:widowControl/>
        <w:spacing w:lineRule="auto" w:line="240" w:before="0" w:after="200"/>
        <w:ind w:left="5" w:right="5" w:firstLine="667"/>
        <w:contextualSpacing/>
        <w:rPr/>
      </w:pPr>
      <w:r>
        <w:rPr>
          <w:rFonts w:ascii="Times New Roman" w:hAnsi="Times New Roman"/>
        </w:rPr>
        <w:t xml:space="preserve">1.1. </w:t>
      </w:r>
      <w:r>
        <w:rPr>
          <w:rFonts w:eastAsia="Times New Roman" w:cs="Century Gothic" w:ascii="Times New Roman" w:hAnsi="Times New Roman"/>
          <w:color w:val="auto"/>
          <w:kern w:val="0"/>
          <w:sz w:val="24"/>
          <w:szCs w:val="24"/>
          <w:lang w:val="ru-RU" w:eastAsia="zh-CN" w:bidi="ar-SA"/>
        </w:rPr>
        <w:t>П</w:t>
      </w:r>
      <w:r>
        <w:rPr>
          <w:rFonts w:eastAsia="Calibri" w:cs="Times New Roman" w:ascii="Times New Roman" w:hAnsi="Times New Roman"/>
        </w:rPr>
        <w:t>роанализировать</w:t>
      </w:r>
      <w:r>
        <w:rPr>
          <w:rFonts w:ascii="Times New Roman" w:hAnsi="Times New Roman"/>
        </w:rPr>
        <w:t xml:space="preserve"> состояни</w:t>
      </w:r>
      <w:r>
        <w:rPr>
          <w:rFonts w:eastAsia="Calibri" w:cs="Times New Roman" w:ascii="Times New Roman" w:hAnsi="Times New Roman"/>
        </w:rPr>
        <w:t>я</w:t>
      </w:r>
      <w:r>
        <w:rPr>
          <w:rFonts w:ascii="Times New Roman" w:hAnsi="Times New Roman"/>
        </w:rPr>
        <w:t xml:space="preserve"> условий труда и разработ</w:t>
      </w:r>
      <w:r>
        <w:rPr>
          <w:rFonts w:eastAsia="Calibri" w:cs="Times New Roman" w:ascii="Times New Roman" w:hAnsi="Times New Roman"/>
          <w:color w:val="auto"/>
          <w:kern w:val="0"/>
          <w:sz w:val="24"/>
          <w:szCs w:val="24"/>
          <w:lang w:val="ru-RU" w:eastAsia="zh-CN" w:bidi="ar-SA"/>
        </w:rPr>
        <w:t>ать</w:t>
      </w:r>
      <w:r>
        <w:rPr>
          <w:rFonts w:ascii="Times New Roman" w:hAnsi="Times New Roman"/>
        </w:rPr>
        <w:t xml:space="preserve"> санитарно-противоэпидемически</w:t>
      </w:r>
      <w:r>
        <w:rPr>
          <w:rFonts w:eastAsia="Calibri" w:cs="Times New Roman" w:ascii="Times New Roman" w:hAnsi="Times New Roman"/>
          <w:color w:val="auto"/>
          <w:kern w:val="0"/>
          <w:sz w:val="24"/>
          <w:szCs w:val="24"/>
          <w:lang w:val="ru-RU" w:eastAsia="zh-CN" w:bidi="ar-SA"/>
        </w:rPr>
        <w:t>е</w:t>
      </w:r>
      <w:r>
        <w:rPr>
          <w:rFonts w:ascii="Times New Roman" w:hAnsi="Times New Roman"/>
        </w:rPr>
        <w:t xml:space="preserve"> (профилактически</w:t>
      </w:r>
      <w:r>
        <w:rPr>
          <w:rFonts w:eastAsia="Calibri" w:cs="Times New Roman" w:ascii="Times New Roman" w:hAnsi="Times New Roman"/>
          <w:color w:val="auto"/>
          <w:kern w:val="0"/>
          <w:sz w:val="24"/>
          <w:szCs w:val="24"/>
          <w:lang w:val="ru-RU" w:eastAsia="zh-CN" w:bidi="ar-SA"/>
        </w:rPr>
        <w:t>е</w:t>
      </w:r>
      <w:r>
        <w:rPr>
          <w:rFonts w:ascii="Times New Roman" w:hAnsi="Times New Roman"/>
        </w:rPr>
        <w:t>) мероприяти</w:t>
      </w:r>
      <w:r>
        <w:rPr>
          <w:rFonts w:eastAsia="Calibri" w:cs="Times New Roman" w:ascii="Times New Roman" w:hAnsi="Times New Roman"/>
        </w:rPr>
        <w:t>й</w:t>
      </w:r>
      <w:r>
        <w:rPr>
          <w:rFonts w:ascii="Times New Roman" w:hAnsi="Times New Roman"/>
        </w:rPr>
        <w:t>, направленны</w:t>
      </w:r>
      <w:r>
        <w:rPr>
          <w:rFonts w:eastAsia="Calibri" w:cs="Times New Roman" w:ascii="Times New Roman" w:hAnsi="Times New Roman"/>
          <w:color w:val="auto"/>
          <w:kern w:val="0"/>
          <w:sz w:val="24"/>
          <w:szCs w:val="24"/>
          <w:lang w:val="ru-RU" w:eastAsia="zh-CN" w:bidi="ar-SA"/>
        </w:rPr>
        <w:t>е</w:t>
      </w:r>
      <w:r>
        <w:rPr>
          <w:rFonts w:ascii="Times New Roman" w:hAnsi="Times New Roman"/>
        </w:rPr>
        <w:t xml:space="preserve"> на предупреждение вредного воздействия факторов производственной среды и трудового процесса на здоровье работников.</w:t>
      </w:r>
    </w:p>
    <w:p>
      <w:pPr>
        <w:pStyle w:val="Style31"/>
        <w:widowControl/>
        <w:spacing w:lineRule="auto" w:line="240" w:before="0" w:after="200"/>
        <w:ind w:left="5" w:right="5" w:firstLine="667"/>
        <w:contextualSpacing/>
        <w:rPr/>
      </w:pPr>
      <w:r>
        <w:rPr>
          <w:rFonts w:ascii="Times New Roman" w:hAnsi="Times New Roman"/>
        </w:rPr>
        <w:t>1.2. Выполн</w:t>
      </w:r>
      <w:r>
        <w:rPr>
          <w:rFonts w:eastAsia="Calibri" w:cs="Times New Roman" w:ascii="Times New Roman" w:hAnsi="Times New Roman"/>
        </w:rPr>
        <w:t>ить</w:t>
      </w:r>
      <w:r>
        <w:rPr>
          <w:rFonts w:ascii="Times New Roman" w:hAnsi="Times New Roman"/>
        </w:rPr>
        <w:t xml:space="preserve"> в полном объеме в указанные сроки предписания Управлени</w:t>
      </w:r>
      <w:r>
        <w:rPr>
          <w:rFonts w:eastAsia="Times New Roman" w:cs="Century Gothic" w:ascii="Times New Roman" w:hAnsi="Times New Roman"/>
          <w:color w:val="auto"/>
          <w:kern w:val="0"/>
          <w:sz w:val="24"/>
          <w:szCs w:val="24"/>
          <w:lang w:val="ru-RU" w:eastAsia="zh-CN" w:bidi="ar-SA"/>
        </w:rPr>
        <w:t>я</w:t>
      </w:r>
      <w:r>
        <w:rPr>
          <w:rFonts w:ascii="Times New Roman" w:hAnsi="Times New Roman"/>
        </w:rPr>
        <w:t xml:space="preserve"> Роспотребнадзора по Чувашской Республике - Чувашии и его территориальными отделами по итогам контрольно-надзорных мероприятий.</w:t>
      </w:r>
    </w:p>
    <w:p>
      <w:pPr>
        <w:pStyle w:val="Style31"/>
        <w:widowControl/>
        <w:spacing w:lineRule="auto" w:line="240" w:before="0" w:after="200"/>
        <w:ind w:left="5" w:right="5" w:firstLine="667"/>
        <w:contextualSpacing/>
        <w:rPr/>
      </w:pPr>
      <w:r>
        <w:rPr>
          <w:rFonts w:eastAsia="Calibri" w:cs="Times New Roman" w:ascii="Times New Roman" w:hAnsi="Times New Roman"/>
        </w:rPr>
        <w:t>1</w:t>
      </w:r>
      <w:r>
        <w:rPr>
          <w:rFonts w:ascii="Times New Roman" w:hAnsi="Times New Roman"/>
        </w:rPr>
        <w:t>.</w:t>
      </w:r>
      <w:r>
        <w:rPr>
          <w:rFonts w:eastAsia="Calibri" w:cs="Times New Roman" w:ascii="Times New Roman" w:hAnsi="Times New Roman"/>
        </w:rPr>
        <w:t>3.</w:t>
      </w:r>
      <w:r>
        <w:rPr>
          <w:rFonts w:ascii="Times New Roman" w:hAnsi="Times New Roman"/>
        </w:rPr>
        <w:t xml:space="preserve"> Реализ</w:t>
      </w:r>
      <w:r>
        <w:rPr>
          <w:rFonts w:eastAsia="Calibri" w:cs="Times New Roman" w:ascii="Times New Roman" w:hAnsi="Times New Roman"/>
        </w:rPr>
        <w:t>овать</w:t>
      </w:r>
      <w:r>
        <w:rPr>
          <w:rFonts w:ascii="Times New Roman" w:hAnsi="Times New Roman"/>
        </w:rPr>
        <w:t xml:space="preserve"> мероприятия, предусмотренные программой производственного контроля, с учетом характеристик производственных процессов и технологического оборудования, наличия вредных производственных факторов, степени их влияния на здоровье работника и среду его обитания.</w:t>
      </w:r>
    </w:p>
    <w:p>
      <w:pPr>
        <w:pStyle w:val="Style31"/>
        <w:widowControl/>
        <w:spacing w:lineRule="auto" w:line="240" w:before="0" w:after="200"/>
        <w:ind w:left="5" w:right="5" w:firstLine="667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1.4. О</w:t>
      </w:r>
      <w:r>
        <w:rPr>
          <w:rFonts w:eastAsia="Arial Unicode MS" w:ascii="Times New Roman" w:hAnsi="Times New Roman"/>
        </w:rPr>
        <w:t xml:space="preserve">беспечить своевременное проведение периодических медицинских осмотров сотрудников в соответствии с приказами Министерства здравоохранения РФ № 29н от 28 января 2021 г. </w:t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firstLine="667"/>
        <w:contextualSpacing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24"/>
          <w:szCs w:val="24"/>
          <w:lang w:val="ru-RU" w:eastAsia="zh-CN" w:bidi="ar-SA"/>
        </w:rPr>
        <w:t>1.5. Обеспечить работников средствами индивидуальной защиты от воздействия физических факторов (шума, локальной вибрации), а также средствами индивидуальной защиты органов дыхания и осуществлять контроль их использования.</w:t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/>
      </w:pPr>
      <w:r>
        <w:rPr>
          <w:rFonts w:eastAsia="Calibri" w:cs="Times New Roman" w:ascii="Times New Roman" w:hAnsi="Times New Roman"/>
          <w:bCs/>
          <w:color w:val="000000"/>
          <w:kern w:val="0"/>
          <w:sz w:val="24"/>
          <w:szCs w:val="24"/>
          <w:lang w:val="ru-RU" w:eastAsia="zh-CN" w:bidi="ar-SA"/>
        </w:rPr>
        <w:t>Врио р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уководителя                                                                                                           Т.Г. </w:t>
      </w:r>
      <w:r>
        <w:rPr>
          <w:rFonts w:eastAsia="Calibri" w:cs="Times New Roman" w:ascii="Times New Roman" w:hAnsi="Times New Roman"/>
          <w:bCs/>
          <w:color w:val="000000"/>
          <w:kern w:val="0"/>
          <w:sz w:val="24"/>
          <w:szCs w:val="24"/>
          <w:lang w:val="ru-RU" w:eastAsia="zh-CN" w:bidi="ar-SA"/>
        </w:rPr>
        <w:t>Гермонова</w:t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 w:eastAsia="Calibri" w:cs="Times New Roman"/>
          <w:bCs/>
          <w:color w:val="000000"/>
          <w:kern w:val="0"/>
          <w:sz w:val="16"/>
          <w:szCs w:val="16"/>
          <w:lang w:val="ru-RU" w:eastAsia="zh-CN" w:bidi="ar-SA"/>
        </w:rPr>
      </w:pPr>
      <w:r>
        <w:rPr>
          <w:rFonts w:eastAsia="Calibri" w:cs="Times New Roman" w:ascii="Times New Roman" w:hAnsi="Times New Roman"/>
          <w:bCs/>
          <w:color w:val="000000"/>
          <w:kern w:val="0"/>
          <w:sz w:val="16"/>
          <w:szCs w:val="16"/>
          <w:lang w:val="ru-RU" w:eastAsia="zh-CN" w:bidi="ar-SA"/>
        </w:rPr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Исп.: Вавашкин К.В;</w:t>
      </w:r>
    </w:p>
    <w:p>
      <w:pPr>
        <w:pStyle w:val="Style31"/>
        <w:widowControl/>
        <w:tabs>
          <w:tab w:val="clear" w:pos="708"/>
          <w:tab w:val="left" w:pos="709" w:leader="none"/>
        </w:tabs>
        <w:suppressAutoHyphens w:val="true"/>
        <w:spacing w:lineRule="auto" w:line="240" w:before="0" w:after="200"/>
        <w:ind w:left="5" w:right="5" w:hanging="0"/>
        <w:contextualSpacing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8(8352) 58-33-10</w:t>
      </w:r>
    </w:p>
    <w:sectPr>
      <w:type w:val="nextPage"/>
      <w:pgSz w:w="11906" w:h="16800"/>
      <w:pgMar w:left="1100" w:right="80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PT Sans">
    <w:charset w:val="01"/>
    <w:family w:val="roman"/>
    <w:pitch w:val="default"/>
  </w:font>
  <w:font w:name="Courier New">
    <w:charset w:val="01"/>
    <w:family w:val="roman"/>
    <w:pitch w:val="default"/>
  </w:font>
  <w:font w:name="Century Gothic">
    <w:charset w:val="01"/>
    <w:family w:val="roman"/>
    <w:pitch w:val="default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val="bestFit" w:percent="219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Free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zh-CN" w:bidi="ar-SA"/>
    </w:rPr>
  </w:style>
  <w:style w:type="paragraph" w:styleId="1">
    <w:name w:val="Heading 1"/>
    <w:basedOn w:val="Normal"/>
    <w:next w:val="Normal"/>
    <w:qFormat/>
    <w:pPr>
      <w:numPr>
        <w:ilvl w:val="0"/>
        <w:numId w:val="1"/>
      </w:num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3">
    <w:name w:val="Основной шрифт абзаца"/>
    <w:qFormat/>
    <w:rPr/>
  </w:style>
  <w:style w:type="character" w:styleId="11">
    <w:name w:val="Заголовок 1 Знак"/>
    <w:basedOn w:val="Style13"/>
    <w:qFormat/>
    <w:rPr>
      <w:rFonts w:ascii="Arial" w:hAnsi="Arial" w:cs="Arial"/>
      <w:b/>
      <w:bCs/>
      <w:color w:val="26282F"/>
    </w:rPr>
  </w:style>
  <w:style w:type="character" w:styleId="Style14">
    <w:name w:val="Цветовое выделение"/>
    <w:qFormat/>
    <w:rPr>
      <w:b/>
      <w:bCs/>
      <w:color w:val="26282F"/>
      <w:sz w:val="26"/>
      <w:szCs w:val="26"/>
    </w:rPr>
  </w:style>
  <w:style w:type="character" w:styleId="FontStyle11">
    <w:name w:val="Font Style11"/>
    <w:basedOn w:val="Style13"/>
    <w:qFormat/>
    <w:rPr>
      <w:rFonts w:ascii="Times New Roman" w:hAnsi="Times New Roman" w:cs="Times New Roman"/>
      <w:sz w:val="24"/>
      <w:szCs w:val="24"/>
    </w:rPr>
  </w:style>
  <w:style w:type="character" w:styleId="Style15">
    <w:name w:val="Текст выноски Знак"/>
    <w:basedOn w:val="Style13"/>
    <w:qFormat/>
    <w:rPr>
      <w:rFonts w:ascii="Tahoma" w:hAnsi="Tahoma" w:cs="Tahoma"/>
      <w:sz w:val="16"/>
      <w:szCs w:val="16"/>
    </w:rPr>
  </w:style>
  <w:style w:type="character" w:styleId="Style16">
    <w:name w:val="Интернет-ссылка"/>
    <w:basedOn w:val="Style13"/>
    <w:rPr>
      <w:color w:val="0000FF"/>
      <w:u w:val="single"/>
    </w:rPr>
  </w:style>
  <w:style w:type="character" w:styleId="2">
    <w:name w:val="Основной текст 2 Знак"/>
    <w:basedOn w:val="Style13"/>
    <w:qFormat/>
    <w:rPr>
      <w:rFonts w:eastAsia="Times New Roman"/>
      <w:b/>
      <w:sz w:val="24"/>
    </w:rPr>
  </w:style>
  <w:style w:type="character" w:styleId="Style17">
    <w:name w:val="Символ нумерации"/>
    <w:qFormat/>
    <w:rPr/>
  </w:style>
  <w:style w:type="character" w:styleId="Style18">
    <w:name w:val="Выделение"/>
    <w:qFormat/>
    <w:rPr>
      <w:i/>
      <w:iCs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ascii="PT Sans" w:hAnsi="PT Sans" w:cs="Noto Sans Devanagari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Style41">
    <w:name w:val="Style4"/>
    <w:basedOn w:val="Normal"/>
    <w:qFormat/>
    <w:pPr>
      <w:widowControl w:val="false"/>
      <w:spacing w:lineRule="exact" w:line="276"/>
      <w:ind w:left="0" w:right="0" w:firstLine="706"/>
      <w:jc w:val="both"/>
    </w:pPr>
    <w:rPr>
      <w:rFonts w:eastAsia="Times New Roman"/>
    </w:rPr>
  </w:style>
  <w:style w:type="paragraph" w:styleId="Style51">
    <w:name w:val="Style5"/>
    <w:basedOn w:val="Normal"/>
    <w:qFormat/>
    <w:pPr>
      <w:widowControl w:val="false"/>
      <w:spacing w:lineRule="exact" w:line="278"/>
      <w:ind w:left="0" w:right="0" w:firstLine="710"/>
    </w:pPr>
    <w:rPr>
      <w:rFonts w:eastAsia="Times New Roman"/>
    </w:rPr>
  </w:style>
  <w:style w:type="paragraph" w:styleId="Style24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21">
    <w:name w:val="Основной текст 2"/>
    <w:basedOn w:val="Normal"/>
    <w:qFormat/>
    <w:pPr>
      <w:jc w:val="center"/>
    </w:pPr>
    <w:rPr>
      <w:rFonts w:eastAsia="Times New Roman"/>
      <w:b/>
      <w:szCs w:val="20"/>
    </w:rPr>
  </w:style>
  <w:style w:type="paragraph" w:styleId="Style25">
    <w:name w:val="Таблицы (моноширинный)"/>
    <w:basedOn w:val="Normal"/>
    <w:next w:val="Normal"/>
    <w:qFormat/>
    <w:pPr>
      <w:widowControl w:val="false"/>
      <w:jc w:val="both"/>
    </w:pPr>
    <w:rPr>
      <w:rFonts w:ascii="Courier New" w:hAnsi="Courier New" w:eastAsia="Times New Roman" w:cs="Courier New"/>
      <w:sz w:val="20"/>
      <w:szCs w:val="20"/>
    </w:rPr>
  </w:style>
  <w:style w:type="paragraph" w:styleId="Style26">
    <w:name w:val="Содержимое таблицы"/>
    <w:basedOn w:val="Normal"/>
    <w:qFormat/>
    <w:pPr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paragraph" w:styleId="S1">
    <w:name w:val="s_1"/>
    <w:basedOn w:val="Normal"/>
    <w:qFormat/>
    <w:pPr>
      <w:spacing w:before="280" w:after="280"/>
    </w:pPr>
    <w:rPr/>
  </w:style>
  <w:style w:type="paragraph" w:styleId="Style31">
    <w:name w:val="Style3"/>
    <w:basedOn w:val="Normal"/>
    <w:qFormat/>
    <w:pPr>
      <w:widowControl w:val="false"/>
      <w:spacing w:lineRule="exact" w:line="274"/>
      <w:ind w:firstLine="701"/>
      <w:jc w:val="both"/>
    </w:pPr>
    <w:rPr>
      <w:rFonts w:ascii="Century Gothic" w:hAnsi="Century Gothic" w:eastAsia="Times New Roman" w:cs="Century Gothic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epart@gsen.ru" TargetMode="External"/><Relationship Id="rId3" Type="http://schemas.openxmlformats.org/officeDocument/2006/relationships/hyperlink" Target="../../../../../../D:%5C&#1052;&#1086;&#1080;%20&#1076;&#1086;&#1082;&#1091;&#1084;&#1077;&#1085;&#1090;&#1099;%5C&#1042;&#1053;&#1059;&#1058;&#1056;&#1045;&#1053;&#1053;&#1048;&#1045;%5C.rospotrebnadzor.ru" TargetMode="External"/><Relationship Id="rId4" Type="http://schemas.openxmlformats.org/officeDocument/2006/relationships/hyperlink" Target="http://www.21.rospotrebnadzor.ru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1771</TotalTime>
  <Application>LibreOffice/7.0.3.1$Linux_X86_64 LibreOffice_project/00$Build-1</Application>
  <Pages>3</Pages>
  <Words>850</Words>
  <Characters>6288</Characters>
  <CharactersWithSpaces>7215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2014-01-10T10:07:00Z</dcterms:created>
  <dc:creator>rpn112</dc:creator>
  <dc:description/>
  <dc:language>ru-RU</dc:language>
  <cp:lastModifiedBy/>
  <dcterms:modified xsi:type="dcterms:W3CDTF">2026-02-03T17:05:05Z</dcterms:modified>
  <cp:revision>53</cp:revision>
  <dc:subject/>
  <dc:title/>
</cp:coreProperties>
</file>