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F" w:rsidRDefault="00537BCF"/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  <w:r w:rsidRPr="005947AE">
              <w:rPr>
                <w:color w:val="FF0000"/>
                <w:sz w:val="26"/>
                <w:szCs w:val="26"/>
              </w:rPr>
              <w:t xml:space="preserve"> 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753094" w:rsidRPr="004A1257" w:rsidRDefault="00753094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bookmarkStart w:id="0" w:name="OLE_LINK1"/>
      <w:bookmarkStart w:id="1" w:name="OLE_LINK2"/>
      <w:proofErr w:type="gramStart"/>
      <w:r w:rsidRPr="004A1257">
        <w:rPr>
          <w:sz w:val="24"/>
          <w:szCs w:val="24"/>
        </w:rPr>
        <w:t xml:space="preserve">- Автомобиль марка, (модель) ПАЗ 32053-70, идентификационный номер </w:t>
      </w:r>
      <w:r w:rsidRPr="004A1257">
        <w:rPr>
          <w:sz w:val="24"/>
          <w:szCs w:val="24"/>
          <w:lang w:val="en-US"/>
        </w:rPr>
        <w:t>VIN</w:t>
      </w:r>
      <w:r w:rsidRPr="004A1257">
        <w:rPr>
          <w:sz w:val="24"/>
          <w:szCs w:val="24"/>
        </w:rPr>
        <w:t xml:space="preserve"> </w:t>
      </w:r>
      <w:r w:rsidRPr="004A1257">
        <w:rPr>
          <w:sz w:val="24"/>
          <w:szCs w:val="24"/>
          <w:lang w:val="en-US"/>
        </w:rPr>
        <w:t>X</w:t>
      </w:r>
      <w:r w:rsidRPr="004A1257">
        <w:rPr>
          <w:sz w:val="24"/>
          <w:szCs w:val="24"/>
        </w:rPr>
        <w:t>1М32058</w:t>
      </w:r>
      <w:r w:rsidRPr="004A1257">
        <w:rPr>
          <w:sz w:val="24"/>
          <w:szCs w:val="24"/>
          <w:lang w:val="en-US"/>
        </w:rPr>
        <w:t>XD</w:t>
      </w:r>
      <w:r w:rsidRPr="004A1257">
        <w:rPr>
          <w:sz w:val="24"/>
          <w:szCs w:val="24"/>
        </w:rPr>
        <w:t xml:space="preserve">0000547, категории ТС – </w:t>
      </w:r>
      <w:r w:rsidRPr="004A1257">
        <w:rPr>
          <w:sz w:val="24"/>
          <w:szCs w:val="24"/>
          <w:lang w:val="en-US"/>
        </w:rPr>
        <w:t>D</w:t>
      </w:r>
      <w:r w:rsidRPr="004A1257">
        <w:rPr>
          <w:sz w:val="24"/>
          <w:szCs w:val="24"/>
        </w:rPr>
        <w:t xml:space="preserve">, год изготовления 2013, модель, № двигателя: 523420 </w:t>
      </w:r>
      <w:r w:rsidRPr="004A1257">
        <w:rPr>
          <w:sz w:val="24"/>
          <w:szCs w:val="24"/>
          <w:lang w:val="en-US"/>
        </w:rPr>
        <w:t>D</w:t>
      </w:r>
      <w:r w:rsidRPr="004A1257">
        <w:rPr>
          <w:sz w:val="24"/>
          <w:szCs w:val="24"/>
        </w:rPr>
        <w:t xml:space="preserve">1000044, шасси (рама) отсутствует, кузов (кабина, прицеп) № </w:t>
      </w:r>
      <w:r w:rsidRPr="004A1257">
        <w:rPr>
          <w:sz w:val="24"/>
          <w:szCs w:val="24"/>
          <w:lang w:val="en-US"/>
        </w:rPr>
        <w:t>X</w:t>
      </w:r>
      <w:r w:rsidRPr="004A1257">
        <w:rPr>
          <w:sz w:val="24"/>
          <w:szCs w:val="24"/>
        </w:rPr>
        <w:t>1М32058</w:t>
      </w:r>
      <w:r w:rsidRPr="004A1257">
        <w:rPr>
          <w:sz w:val="24"/>
          <w:szCs w:val="24"/>
          <w:lang w:val="en-US"/>
        </w:rPr>
        <w:t>XD</w:t>
      </w:r>
      <w:r w:rsidRPr="004A1257">
        <w:rPr>
          <w:sz w:val="24"/>
          <w:szCs w:val="24"/>
        </w:rPr>
        <w:t>0000547,  цвет кузова - желтый, мощность двигателя, л. с. (кВт) 122,4 п.с., рабочий объем двигателя,  куб. см. 4670, тип двигателя – бензиновый, разрешенная максимальная масса, кг – 6270, масса без нагрузки, кг – 5080, паспорт транспортного средства № 52</w:t>
      </w:r>
      <w:proofErr w:type="gramEnd"/>
      <w:r w:rsidRPr="004A1257">
        <w:rPr>
          <w:sz w:val="24"/>
          <w:szCs w:val="24"/>
        </w:rPr>
        <w:t xml:space="preserve"> НС 029249.</w:t>
      </w:r>
    </w:p>
    <w:p w:rsidR="00355DB4" w:rsidRDefault="00355DB4" w:rsidP="00355DB4">
      <w:pPr>
        <w:pStyle w:val="a4"/>
        <w:ind w:right="-1" w:firstLine="708"/>
      </w:pPr>
      <w:r>
        <w:t>.</w:t>
      </w:r>
    </w:p>
    <w:p w:rsidR="00644E4A" w:rsidRPr="00566049" w:rsidRDefault="00CF3C65" w:rsidP="00644E4A">
      <w:pPr>
        <w:tabs>
          <w:tab w:val="left" w:pos="9355"/>
        </w:tabs>
        <w:spacing w:line="240" w:lineRule="atLeast"/>
        <w:ind w:right="-6"/>
        <w:jc w:val="both"/>
        <w:rPr>
          <w:sz w:val="24"/>
          <w:szCs w:val="24"/>
        </w:rPr>
      </w:pPr>
      <w:r w:rsidRPr="00566049">
        <w:rPr>
          <w:sz w:val="24"/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753094">
        <w:rPr>
          <w:szCs w:val="24"/>
        </w:rPr>
        <w:t>19 января 2024 года 15-р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753094" w:rsidRPr="004A1257" w:rsidRDefault="00E852EB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>
        <w:rPr>
          <w:b/>
          <w:szCs w:val="24"/>
        </w:rPr>
        <w:t xml:space="preserve"> </w:t>
      </w:r>
      <w:proofErr w:type="gramStart"/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753094" w:rsidRPr="004A1257">
        <w:rPr>
          <w:sz w:val="24"/>
          <w:szCs w:val="24"/>
        </w:rPr>
        <w:t xml:space="preserve">- Автомобиль марка, (модель) ПАЗ 32053-70, идентификационный номер </w:t>
      </w:r>
      <w:r w:rsidR="00753094" w:rsidRPr="004A1257">
        <w:rPr>
          <w:sz w:val="24"/>
          <w:szCs w:val="24"/>
          <w:lang w:val="en-US"/>
        </w:rPr>
        <w:t>VIN</w:t>
      </w:r>
      <w:r w:rsidR="00753094" w:rsidRPr="004A1257">
        <w:rPr>
          <w:sz w:val="24"/>
          <w:szCs w:val="24"/>
        </w:rPr>
        <w:t xml:space="preserve">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 xml:space="preserve">0000547, категории ТС –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, год изготовления 2013, модель, № двигателя: 523420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1000044, шасси (рама) отсутствует, кузов (кабина, прицеп) №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>0000547,  цвет кузова - желтый, мощность двигателя, л. с. (кВт) 122,4 п.с., рабочий объем двигателя,  куб. см. 4670, тип двигателя – бензиновый, разрешенная максимальная масса, кг – 6270, масса без нагрузки, кг</w:t>
      </w:r>
      <w:proofErr w:type="gramEnd"/>
      <w:r w:rsidR="00753094" w:rsidRPr="004A1257">
        <w:rPr>
          <w:sz w:val="24"/>
          <w:szCs w:val="24"/>
        </w:rPr>
        <w:t xml:space="preserve"> – 5080, паспорт транспортного средства № 52 НС 029249.</w:t>
      </w: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>о проведении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</w:t>
      </w:r>
      <w:r w:rsidR="00575650">
        <w:rPr>
          <w:rFonts w:ascii="Times New Roman" w:hAnsi="Times New Roman"/>
          <w:b/>
          <w:sz w:val="24"/>
          <w:szCs w:val="24"/>
        </w:rPr>
        <w:t>1</w:t>
      </w:r>
      <w:r w:rsidR="00232A26">
        <w:rPr>
          <w:rFonts w:ascii="Times New Roman" w:hAnsi="Times New Roman"/>
          <w:b/>
          <w:sz w:val="24"/>
          <w:szCs w:val="24"/>
        </w:rPr>
        <w:t>1</w:t>
      </w:r>
      <w:r w:rsidR="00575650">
        <w:rPr>
          <w:rFonts w:ascii="Times New Roman" w:hAnsi="Times New Roman"/>
          <w:b/>
          <w:sz w:val="24"/>
          <w:szCs w:val="24"/>
        </w:rPr>
        <w:t xml:space="preserve"> апреля</w:t>
      </w:r>
      <w:r w:rsidR="00872DBC" w:rsidRPr="00872DBC">
        <w:rPr>
          <w:rFonts w:ascii="Times New Roman" w:hAnsi="Times New Roman"/>
          <w:b/>
          <w:sz w:val="24"/>
          <w:szCs w:val="24"/>
        </w:rPr>
        <w:t xml:space="preserve"> 2024</w:t>
      </w:r>
      <w:r w:rsidR="005D019C" w:rsidRPr="00872DBC">
        <w:rPr>
          <w:rFonts w:ascii="Times New Roman" w:hAnsi="Times New Roman"/>
          <w:b/>
          <w:sz w:val="24"/>
          <w:szCs w:val="24"/>
        </w:rPr>
        <w:t xml:space="preserve"> г.</w:t>
      </w:r>
      <w:r w:rsidR="005D019C" w:rsidRPr="00D23C6A">
        <w:rPr>
          <w:rFonts w:ascii="Times New Roman" w:hAnsi="Times New Roman"/>
          <w:b/>
          <w:sz w:val="24"/>
          <w:szCs w:val="24"/>
        </w:rPr>
        <w:t xml:space="preserve"> 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>администрации Порецкого района</w:t>
      </w:r>
      <w:r w:rsidRPr="00E852EB">
        <w:rPr>
          <w:sz w:val="24"/>
          <w:szCs w:val="24"/>
        </w:rPr>
        <w:t xml:space="preserve"> от </w:t>
      </w:r>
      <w:r w:rsidR="00753094">
        <w:rPr>
          <w:sz w:val="24"/>
          <w:szCs w:val="24"/>
        </w:rPr>
        <w:t>19</w:t>
      </w:r>
      <w:r w:rsidRPr="00E852EB">
        <w:rPr>
          <w:sz w:val="24"/>
          <w:szCs w:val="24"/>
        </w:rPr>
        <w:t>.</w:t>
      </w:r>
      <w:r w:rsidR="00E4298F">
        <w:rPr>
          <w:sz w:val="24"/>
          <w:szCs w:val="24"/>
        </w:rPr>
        <w:t>0</w:t>
      </w:r>
      <w:r w:rsidR="00753094">
        <w:rPr>
          <w:sz w:val="24"/>
          <w:szCs w:val="24"/>
        </w:rPr>
        <w:t>1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753094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753094">
        <w:rPr>
          <w:sz w:val="24"/>
          <w:szCs w:val="24"/>
        </w:rPr>
        <w:t>15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</w:t>
      </w:r>
      <w:r w:rsidR="00753094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4A7ECF" w:rsidRPr="005947AE">
        <w:rPr>
          <w:sz w:val="24"/>
          <w:szCs w:val="24"/>
          <w:shd w:val="clear" w:color="auto" w:fill="FFFFFF"/>
        </w:rPr>
        <w:t>Комитет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753094" w:rsidRPr="004A1257" w:rsidRDefault="00B309E1" w:rsidP="00753094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CF3C65">
        <w:rPr>
          <w:szCs w:val="24"/>
        </w:rPr>
        <w:t xml:space="preserve">1.1. </w:t>
      </w:r>
      <w:r w:rsidR="00753094" w:rsidRPr="004A1257">
        <w:rPr>
          <w:sz w:val="24"/>
          <w:szCs w:val="24"/>
        </w:rPr>
        <w:t xml:space="preserve">- </w:t>
      </w:r>
      <w:proofErr w:type="gramStart"/>
      <w:r w:rsidR="00753094" w:rsidRPr="004A1257">
        <w:rPr>
          <w:sz w:val="24"/>
          <w:szCs w:val="24"/>
        </w:rPr>
        <w:t xml:space="preserve">Автомобиль марка, (модель) ПАЗ 32053-70, идентификационный номер </w:t>
      </w:r>
      <w:r w:rsidR="00753094" w:rsidRPr="004A1257">
        <w:rPr>
          <w:sz w:val="24"/>
          <w:szCs w:val="24"/>
          <w:lang w:val="en-US"/>
        </w:rPr>
        <w:t>VIN</w:t>
      </w:r>
      <w:r w:rsidR="00753094" w:rsidRPr="004A1257">
        <w:rPr>
          <w:sz w:val="24"/>
          <w:szCs w:val="24"/>
        </w:rPr>
        <w:t xml:space="preserve">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 xml:space="preserve">0000547, категории ТС –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, год изготовления 2013, модель, № двигателя: 523420 </w:t>
      </w:r>
      <w:r w:rsidR="00753094" w:rsidRPr="004A1257">
        <w:rPr>
          <w:sz w:val="24"/>
          <w:szCs w:val="24"/>
          <w:lang w:val="en-US"/>
        </w:rPr>
        <w:t>D</w:t>
      </w:r>
      <w:r w:rsidR="00753094" w:rsidRPr="004A1257">
        <w:rPr>
          <w:sz w:val="24"/>
          <w:szCs w:val="24"/>
        </w:rPr>
        <w:t xml:space="preserve">1000044, шасси (рама) отсутствует, кузов (кабина, прицеп) № </w:t>
      </w:r>
      <w:r w:rsidR="00753094" w:rsidRPr="004A1257">
        <w:rPr>
          <w:sz w:val="24"/>
          <w:szCs w:val="24"/>
          <w:lang w:val="en-US"/>
        </w:rPr>
        <w:t>X</w:t>
      </w:r>
      <w:r w:rsidR="00753094" w:rsidRPr="004A1257">
        <w:rPr>
          <w:sz w:val="24"/>
          <w:szCs w:val="24"/>
        </w:rPr>
        <w:t>1М32058</w:t>
      </w:r>
      <w:r w:rsidR="00753094" w:rsidRPr="004A1257">
        <w:rPr>
          <w:sz w:val="24"/>
          <w:szCs w:val="24"/>
          <w:lang w:val="en-US"/>
        </w:rPr>
        <w:t>XD</w:t>
      </w:r>
      <w:r w:rsidR="00753094" w:rsidRPr="004A1257">
        <w:rPr>
          <w:sz w:val="24"/>
          <w:szCs w:val="24"/>
        </w:rPr>
        <w:t>0000547,  цвет кузова - желтый, мощность двигателя, л. с. (кВт) 122,4 п.с., рабочий объем двигателя,  куб. см. 4670, тип двигателя – бензиновый, разрешенная максимальная масса, кг – 6270, масса без нагрузки, кг – 5080, паспорт транспортного средства № 52</w:t>
      </w:r>
      <w:proofErr w:type="gramEnd"/>
      <w:r w:rsidR="00753094" w:rsidRPr="004A1257">
        <w:rPr>
          <w:sz w:val="24"/>
          <w:szCs w:val="24"/>
        </w:rPr>
        <w:t xml:space="preserve"> НС 029249.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A7ECF" w:rsidRPr="0036492B">
        <w:rPr>
          <w:color w:val="000000"/>
          <w:szCs w:val="24"/>
        </w:rPr>
        <w:t xml:space="preserve">: </w:t>
      </w:r>
      <w:r w:rsidR="00A2732B">
        <w:rPr>
          <w:color w:val="000000"/>
          <w:szCs w:val="24"/>
        </w:rPr>
        <w:t>17</w:t>
      </w:r>
      <w:r w:rsidR="00753094">
        <w:rPr>
          <w:color w:val="000000"/>
          <w:szCs w:val="24"/>
        </w:rPr>
        <w:t>9</w:t>
      </w:r>
      <w:r w:rsidR="00A2732B">
        <w:rPr>
          <w:color w:val="000000"/>
          <w:szCs w:val="24"/>
        </w:rPr>
        <w:t xml:space="preserve"> </w:t>
      </w:r>
      <w:r w:rsidR="00753094">
        <w:rPr>
          <w:color w:val="000000"/>
          <w:szCs w:val="24"/>
        </w:rPr>
        <w:t>1</w:t>
      </w:r>
      <w:r w:rsidR="00A2732B">
        <w:rPr>
          <w:color w:val="000000"/>
          <w:szCs w:val="24"/>
        </w:rPr>
        <w:t>00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A2732B">
        <w:rPr>
          <w:color w:val="000000"/>
          <w:szCs w:val="24"/>
        </w:rPr>
        <w:t xml:space="preserve">Сто семьдесят </w:t>
      </w:r>
      <w:r w:rsidR="00753094">
        <w:rPr>
          <w:color w:val="000000"/>
          <w:szCs w:val="24"/>
        </w:rPr>
        <w:t xml:space="preserve">девять </w:t>
      </w:r>
      <w:r w:rsidR="00A2732B">
        <w:rPr>
          <w:color w:val="000000"/>
          <w:szCs w:val="24"/>
        </w:rPr>
        <w:t>тысяч</w:t>
      </w:r>
      <w:r w:rsidR="00753094">
        <w:rPr>
          <w:color w:val="000000"/>
          <w:szCs w:val="24"/>
        </w:rPr>
        <w:t xml:space="preserve"> сто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9531A3">
        <w:rPr>
          <w:sz w:val="24"/>
          <w:szCs w:val="24"/>
        </w:rPr>
        <w:t>8955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A2732B">
        <w:rPr>
          <w:color w:val="000000"/>
          <w:sz w:val="24"/>
          <w:szCs w:val="24"/>
        </w:rPr>
        <w:t xml:space="preserve">Восемь тысяч </w:t>
      </w:r>
      <w:r w:rsidR="009531A3">
        <w:rPr>
          <w:color w:val="000000"/>
          <w:sz w:val="24"/>
          <w:szCs w:val="24"/>
        </w:rPr>
        <w:t xml:space="preserve">девятьсот пятьдесят </w:t>
      </w:r>
      <w:r w:rsidR="00A2732B">
        <w:rPr>
          <w:color w:val="000000"/>
          <w:sz w:val="24"/>
          <w:szCs w:val="24"/>
        </w:rPr>
        <w:t>пять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 xml:space="preserve">17 </w:t>
      </w:r>
      <w:r w:rsidR="009531A3">
        <w:rPr>
          <w:sz w:val="24"/>
          <w:szCs w:val="24"/>
        </w:rPr>
        <w:t>910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7E77FC">
        <w:rPr>
          <w:color w:val="000000"/>
          <w:sz w:val="24"/>
          <w:szCs w:val="24"/>
        </w:rPr>
        <w:t>Семнадцать тысяч д</w:t>
      </w:r>
      <w:r w:rsidR="009531A3">
        <w:rPr>
          <w:color w:val="000000"/>
          <w:sz w:val="24"/>
          <w:szCs w:val="24"/>
        </w:rPr>
        <w:t>евятьсот десять)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9531A3">
        <w:rPr>
          <w:sz w:val="24"/>
          <w:szCs w:val="24"/>
        </w:rPr>
        <w:t>не объявлялись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575650">
        <w:rPr>
          <w:sz w:val="24"/>
          <w:szCs w:val="24"/>
        </w:rPr>
        <w:t>07 марта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575650">
        <w:rPr>
          <w:sz w:val="24"/>
          <w:szCs w:val="24"/>
        </w:rPr>
        <w:t>5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575650">
        <w:rPr>
          <w:sz w:val="24"/>
          <w:szCs w:val="24"/>
        </w:rPr>
        <w:t>08</w:t>
      </w:r>
      <w:r w:rsidR="0014266E">
        <w:rPr>
          <w:sz w:val="24"/>
          <w:szCs w:val="24"/>
        </w:rPr>
        <w:t>.</w:t>
      </w:r>
      <w:r w:rsidR="00D23C6A">
        <w:rPr>
          <w:sz w:val="24"/>
          <w:szCs w:val="24"/>
        </w:rPr>
        <w:t>0</w:t>
      </w:r>
      <w:r w:rsidR="00575650">
        <w:rPr>
          <w:sz w:val="24"/>
          <w:szCs w:val="24"/>
        </w:rPr>
        <w:t>4</w:t>
      </w:r>
      <w:r w:rsidR="0014266E">
        <w:rPr>
          <w:sz w:val="24"/>
          <w:szCs w:val="24"/>
        </w:rPr>
        <w:t>.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575650">
        <w:rPr>
          <w:sz w:val="24"/>
          <w:szCs w:val="24"/>
        </w:rPr>
        <w:t>09 апреля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232A26">
        <w:rPr>
          <w:sz w:val="24"/>
          <w:szCs w:val="24"/>
        </w:rPr>
        <w:t>11</w:t>
      </w:r>
      <w:r w:rsidR="00D23C6A">
        <w:rPr>
          <w:sz w:val="24"/>
          <w:szCs w:val="24"/>
        </w:rPr>
        <w:t xml:space="preserve"> </w:t>
      </w:r>
      <w:r w:rsidR="00232A26">
        <w:rPr>
          <w:sz w:val="24"/>
          <w:szCs w:val="24"/>
        </w:rPr>
        <w:t>апреля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33592B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>* 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 xml:space="preserve">ершенной со времени </w:t>
      </w:r>
      <w:r>
        <w:rPr>
          <w:bCs/>
          <w:sz w:val="24"/>
          <w:szCs w:val="24"/>
        </w:rPr>
        <w:lastRenderedPageBreak/>
        <w:t>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района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lastRenderedPageBreak/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района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lastRenderedPageBreak/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0549AF">
        <w:t>администрации Порецкого района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</w:t>
        </w:r>
        <w:proofErr w:type="spellStart"/>
        <w:r w:rsidR="000549AF" w:rsidRPr="006A00E5">
          <w:rPr>
            <w:rStyle w:val="af0"/>
          </w:rPr>
          <w:t>ru</w:t>
        </w:r>
        <w:proofErr w:type="spellEnd"/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7E77FC">
        <w:rPr>
          <w:rFonts w:eastAsia="Calibri"/>
          <w:sz w:val="24"/>
          <w:szCs w:val="24"/>
        </w:rPr>
        <w:t xml:space="preserve">17 </w:t>
      </w:r>
      <w:r w:rsidR="00F544D4">
        <w:rPr>
          <w:rFonts w:eastAsia="Calibri"/>
          <w:sz w:val="24"/>
          <w:szCs w:val="24"/>
        </w:rPr>
        <w:t>910</w:t>
      </w:r>
      <w:r w:rsidR="00B438AD">
        <w:rPr>
          <w:rFonts w:eastAsia="Calibri"/>
          <w:sz w:val="24"/>
          <w:szCs w:val="24"/>
        </w:rPr>
        <w:t xml:space="preserve"> </w:t>
      </w:r>
      <w:r w:rsidR="000549AF" w:rsidRPr="005947AE">
        <w:rPr>
          <w:rFonts w:eastAsia="Calibri"/>
          <w:sz w:val="24"/>
          <w:szCs w:val="24"/>
        </w:rPr>
        <w:t>(</w:t>
      </w:r>
      <w:r w:rsidR="007E77FC">
        <w:rPr>
          <w:rFonts w:eastAsia="Calibri"/>
          <w:sz w:val="24"/>
          <w:szCs w:val="24"/>
        </w:rPr>
        <w:t xml:space="preserve">Семнадцать тысяч </w:t>
      </w:r>
      <w:r w:rsidR="00F544D4">
        <w:rPr>
          <w:rFonts w:eastAsia="Calibri"/>
          <w:sz w:val="24"/>
          <w:szCs w:val="24"/>
        </w:rPr>
        <w:t>девятьсот десять</w:t>
      </w:r>
      <w:r w:rsidR="00666FCA" w:rsidRPr="005947AE">
        <w:rPr>
          <w:rFonts w:eastAsia="Calibri"/>
          <w:sz w:val="24"/>
          <w:szCs w:val="24"/>
        </w:rPr>
        <w:t>) руб.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lastRenderedPageBreak/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lastRenderedPageBreak/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района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района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6B7869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района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0B6368">
        <w:rPr>
          <w:sz w:val="22"/>
          <w:szCs w:val="22"/>
        </w:rPr>
        <w:t>2</w:t>
      </w:r>
      <w:r w:rsidR="001E08AC">
        <w:rPr>
          <w:sz w:val="22"/>
          <w:szCs w:val="22"/>
        </w:rPr>
        <w:t>___</w:t>
      </w:r>
      <w:r w:rsidRPr="002420B9">
        <w:rPr>
          <w:sz w:val="22"/>
          <w:szCs w:val="22"/>
        </w:rPr>
        <w:t>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1E08AC">
        <w:rPr>
          <w:sz w:val="22"/>
          <w:szCs w:val="22"/>
        </w:rPr>
        <w:t>2___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(18 %),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1E08AC">
        <w:rPr>
          <w:sz w:val="22"/>
          <w:szCs w:val="22"/>
        </w:rPr>
        <w:t>_</w:t>
      </w:r>
      <w:r w:rsidRPr="00B72A90">
        <w:rPr>
          <w:sz w:val="22"/>
          <w:szCs w:val="22"/>
        </w:rPr>
        <w:t>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</w:t>
      </w:r>
      <w:r w:rsidR="001E08AC">
        <w:rPr>
          <w:color w:val="auto"/>
          <w:szCs w:val="22"/>
        </w:rPr>
        <w:t>_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6B" w:rsidRDefault="00173C6B">
      <w:r>
        <w:separator/>
      </w:r>
    </w:p>
  </w:endnote>
  <w:endnote w:type="continuationSeparator" w:id="0">
    <w:p w:rsidR="00173C6B" w:rsidRDefault="0017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6B" w:rsidRDefault="00173C6B">
      <w:r>
        <w:separator/>
      </w:r>
    </w:p>
  </w:footnote>
  <w:footnote w:type="continuationSeparator" w:id="0">
    <w:p w:rsidR="00173C6B" w:rsidRDefault="00173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2B" w:rsidRDefault="00F0595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33592B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33592B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3592B" w:rsidRDefault="0033592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2B" w:rsidRDefault="00F0595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33592B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32A26">
      <w:rPr>
        <w:rStyle w:val="a8"/>
        <w:rFonts w:ascii="Times New Roman CYR" w:hAnsi="Times New Roman CYR"/>
        <w:noProof/>
        <w:sz w:val="24"/>
      </w:rPr>
      <w:t>6</w:t>
    </w:r>
    <w:r>
      <w:rPr>
        <w:rStyle w:val="a8"/>
        <w:rFonts w:ascii="Times New Roman CYR" w:hAnsi="Times New Roman CYR"/>
        <w:sz w:val="24"/>
      </w:rPr>
      <w:fldChar w:fldCharType="end"/>
    </w:r>
  </w:p>
  <w:p w:rsidR="0033592B" w:rsidRDefault="0033592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E252E"/>
    <w:rsid w:val="000E2AF0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2A78"/>
    <w:rsid w:val="00173C6B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E08AC"/>
    <w:rsid w:val="001F2359"/>
    <w:rsid w:val="001F258D"/>
    <w:rsid w:val="0022418D"/>
    <w:rsid w:val="00232A26"/>
    <w:rsid w:val="00234421"/>
    <w:rsid w:val="00237E56"/>
    <w:rsid w:val="002409C5"/>
    <w:rsid w:val="00286F20"/>
    <w:rsid w:val="002A564A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BBE"/>
    <w:rsid w:val="00300EB4"/>
    <w:rsid w:val="00304C1F"/>
    <w:rsid w:val="003152F6"/>
    <w:rsid w:val="00326105"/>
    <w:rsid w:val="0033592B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80B48"/>
    <w:rsid w:val="00485D96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5650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D019C"/>
    <w:rsid w:val="00607603"/>
    <w:rsid w:val="00610E0D"/>
    <w:rsid w:val="00615E7E"/>
    <w:rsid w:val="00621063"/>
    <w:rsid w:val="00625F47"/>
    <w:rsid w:val="0062623B"/>
    <w:rsid w:val="00627601"/>
    <w:rsid w:val="006304EC"/>
    <w:rsid w:val="00643D18"/>
    <w:rsid w:val="00644E4A"/>
    <w:rsid w:val="006605B8"/>
    <w:rsid w:val="00661F16"/>
    <w:rsid w:val="00662319"/>
    <w:rsid w:val="00663463"/>
    <w:rsid w:val="00666FCA"/>
    <w:rsid w:val="00675DE3"/>
    <w:rsid w:val="00694CC7"/>
    <w:rsid w:val="006A49C1"/>
    <w:rsid w:val="006B6D58"/>
    <w:rsid w:val="006B7869"/>
    <w:rsid w:val="006C4F68"/>
    <w:rsid w:val="006D349C"/>
    <w:rsid w:val="006D48F7"/>
    <w:rsid w:val="006D6653"/>
    <w:rsid w:val="006F27D2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53094"/>
    <w:rsid w:val="00765C93"/>
    <w:rsid w:val="00776981"/>
    <w:rsid w:val="007D0720"/>
    <w:rsid w:val="007E2B16"/>
    <w:rsid w:val="007E6027"/>
    <w:rsid w:val="007E77FC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72DBC"/>
    <w:rsid w:val="008812AE"/>
    <w:rsid w:val="0088498B"/>
    <w:rsid w:val="008A58D3"/>
    <w:rsid w:val="008D14A3"/>
    <w:rsid w:val="00904700"/>
    <w:rsid w:val="00915C36"/>
    <w:rsid w:val="00933FB5"/>
    <w:rsid w:val="00937A47"/>
    <w:rsid w:val="00937B26"/>
    <w:rsid w:val="00937F6E"/>
    <w:rsid w:val="00952D71"/>
    <w:rsid w:val="009531A3"/>
    <w:rsid w:val="0095472C"/>
    <w:rsid w:val="009627BD"/>
    <w:rsid w:val="00963E47"/>
    <w:rsid w:val="009652E1"/>
    <w:rsid w:val="00993185"/>
    <w:rsid w:val="0099760D"/>
    <w:rsid w:val="009B4C7C"/>
    <w:rsid w:val="009C1CFF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5188"/>
    <w:rsid w:val="00AD72E9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5E62"/>
    <w:rsid w:val="00C66FBE"/>
    <w:rsid w:val="00C8172E"/>
    <w:rsid w:val="00C8303C"/>
    <w:rsid w:val="00C90D61"/>
    <w:rsid w:val="00C91B96"/>
    <w:rsid w:val="00C9350E"/>
    <w:rsid w:val="00CA6885"/>
    <w:rsid w:val="00CB0217"/>
    <w:rsid w:val="00CB6B38"/>
    <w:rsid w:val="00CD2C43"/>
    <w:rsid w:val="00CD6E36"/>
    <w:rsid w:val="00CF3C65"/>
    <w:rsid w:val="00CF3E1D"/>
    <w:rsid w:val="00CF573A"/>
    <w:rsid w:val="00CF5857"/>
    <w:rsid w:val="00D13CDA"/>
    <w:rsid w:val="00D23C6A"/>
    <w:rsid w:val="00D368F6"/>
    <w:rsid w:val="00D3776D"/>
    <w:rsid w:val="00D446D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852EB"/>
    <w:rsid w:val="00ED1A2C"/>
    <w:rsid w:val="00ED5A0B"/>
    <w:rsid w:val="00F02A8D"/>
    <w:rsid w:val="00F0595D"/>
    <w:rsid w:val="00F20F45"/>
    <w:rsid w:val="00F25C80"/>
    <w:rsid w:val="00F30540"/>
    <w:rsid w:val="00F5344D"/>
    <w:rsid w:val="00F53EAC"/>
    <w:rsid w:val="00F544D4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31252-B2E9-4443-99CD-2C0DEFDF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8301</Words>
  <Characters>47321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7</cp:revision>
  <cp:lastPrinted>2019-05-30T08:42:00Z</cp:lastPrinted>
  <dcterms:created xsi:type="dcterms:W3CDTF">2024-01-24T11:51:00Z</dcterms:created>
  <dcterms:modified xsi:type="dcterms:W3CDTF">2024-03-05T14:55:00Z</dcterms:modified>
</cp:coreProperties>
</file>