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8D" w:rsidRDefault="00247B8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7B8D" w:rsidRDefault="00247B8D">
      <w:pPr>
        <w:pStyle w:val="ConsPlusNormal"/>
        <w:jc w:val="both"/>
        <w:outlineLvl w:val="0"/>
      </w:pPr>
    </w:p>
    <w:p w:rsidR="00247B8D" w:rsidRDefault="00247B8D">
      <w:pPr>
        <w:pStyle w:val="ConsPlusTitle"/>
        <w:jc w:val="center"/>
        <w:outlineLvl w:val="0"/>
      </w:pPr>
      <w:r>
        <w:t>АДМИНИСТРАЦИЯ ГОРОДА ЧЕБОКСАРЫ</w:t>
      </w:r>
    </w:p>
    <w:p w:rsidR="00247B8D" w:rsidRDefault="00247B8D">
      <w:pPr>
        <w:pStyle w:val="ConsPlusTitle"/>
        <w:jc w:val="center"/>
      </w:pPr>
      <w:r>
        <w:t>ЧУВАШСКОЙ РЕСПУБЛИКИ</w:t>
      </w:r>
    </w:p>
    <w:p w:rsidR="00247B8D" w:rsidRDefault="00247B8D">
      <w:pPr>
        <w:pStyle w:val="ConsPlusTitle"/>
        <w:jc w:val="both"/>
      </w:pPr>
    </w:p>
    <w:p w:rsidR="00247B8D" w:rsidRDefault="00247B8D">
      <w:pPr>
        <w:pStyle w:val="ConsPlusTitle"/>
        <w:jc w:val="center"/>
      </w:pPr>
      <w:r>
        <w:t>ПОСТАНОВЛЕНИЕ</w:t>
      </w:r>
    </w:p>
    <w:p w:rsidR="00247B8D" w:rsidRDefault="00247B8D">
      <w:pPr>
        <w:pStyle w:val="ConsPlusTitle"/>
        <w:jc w:val="center"/>
      </w:pPr>
      <w:r>
        <w:t>от 27 августа 2020 г. N 1528</w:t>
      </w:r>
    </w:p>
    <w:p w:rsidR="00247B8D" w:rsidRDefault="00247B8D">
      <w:pPr>
        <w:pStyle w:val="ConsPlusTitle"/>
        <w:jc w:val="both"/>
      </w:pPr>
    </w:p>
    <w:p w:rsidR="00247B8D" w:rsidRDefault="00247B8D">
      <w:pPr>
        <w:pStyle w:val="ConsPlusTitle"/>
        <w:jc w:val="center"/>
      </w:pPr>
      <w:r>
        <w:t>О ВНЕСЕНИИ ИЗМЕНЕНИЙ В ПОСТАНОВЛЕНИЕ АДМИНИСТРАЦИИ</w:t>
      </w:r>
    </w:p>
    <w:p w:rsidR="00247B8D" w:rsidRDefault="00247B8D">
      <w:pPr>
        <w:pStyle w:val="ConsPlusTitle"/>
        <w:jc w:val="center"/>
      </w:pPr>
      <w:r>
        <w:t>ГОРОДА ЧЕБОКСАРЫ ОТ 30.12.2013 N 4446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от 31.07.1998 N 145-ФЗ,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26.10.2018 N 432 "О государственной программе Чувашской Республики "Развитие потенциала государственного управления", </w:t>
      </w:r>
      <w:hyperlink r:id="rId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23.06.2020 N 2143 "О внесении изменений в бюджет муниципального образования города Чебоксары - столицы Чувашской Республики на 2020 год и на плановый период 2021 и 2022 годов, утвержденный решением Чебоксарского городского Собрания депутатов от 17 декабря 2019 года N 1968" администрация города Чебоксары постановляет: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города Чебоксары "Развитие потенциала муниципального управления", утвержденную постановлением администрации города Чебоксары от 30.12.2013 N 4446 (далее - муниципальная программа), следующие изменения: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247B8D" w:rsidRDefault="00247B8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247B8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B8D" w:rsidRDefault="00247B8D">
            <w:pPr>
              <w:pStyle w:val="ConsPlusNormal"/>
              <w:jc w:val="both"/>
            </w:pPr>
            <w: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7B8D" w:rsidRDefault="00247B8D">
            <w:pPr>
              <w:pStyle w:val="ConsPlusNormal"/>
              <w:jc w:val="both"/>
            </w:pPr>
            <w:r>
              <w:t>- Прогнозируемые объемы финансирования мероприятий муниципальной программы в 2014 - 2025 годах составляют 2720069,7 тысяч рублей, в том числе:</w:t>
            </w:r>
          </w:p>
          <w:p w:rsidR="00247B8D" w:rsidRDefault="00247B8D">
            <w:pPr>
              <w:pStyle w:val="ConsPlusNormal"/>
              <w:jc w:val="both"/>
            </w:pPr>
            <w:r>
              <w:t>в 2014 году - 197119,7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2015 году - 193848,9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2016 году - 205095,7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2017 году - 212465,9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2018 году - 234837,3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2019 году - 231632,4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2020 году - 255203,7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2021 году - 260534,8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2022 году - 232332,8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2023 году - 232332,8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2024 году - 232332,8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2025 году - 232332,8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из них средства:</w:t>
            </w:r>
          </w:p>
          <w:p w:rsidR="00247B8D" w:rsidRDefault="00247B8D">
            <w:pPr>
              <w:pStyle w:val="ConsPlusNormal"/>
              <w:jc w:val="both"/>
            </w:pPr>
            <w:r>
              <w:t>федерального бюджета - 163912,30 тысяч рублей, в том числе по годам:</w:t>
            </w:r>
          </w:p>
          <w:p w:rsidR="00247B8D" w:rsidRDefault="00247B8D">
            <w:pPr>
              <w:pStyle w:val="ConsPlusNormal"/>
              <w:jc w:val="both"/>
            </w:pPr>
            <w:r>
              <w:t>в 2014 году - 12112,3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2015 году - 10420,2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2016 году - 12116,6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2017 году - 12762,0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2018 году - 16477,0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lastRenderedPageBreak/>
              <w:t>в 2019 году - 14730,0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2020 году - 14406,4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2021 году - 13062,2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2022 году - 14456,4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2023 году - 14456,4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2024 году - 14456,4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2025 году - 14456,4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республиканского бюджета Чувашской Республики - 1645,7 тысяч рублей, в том числе по годам:</w:t>
            </w:r>
          </w:p>
          <w:p w:rsidR="00247B8D" w:rsidRDefault="00247B8D">
            <w:pPr>
              <w:pStyle w:val="ConsPlusNormal"/>
              <w:jc w:val="both"/>
            </w:pPr>
            <w:r>
              <w:t>в 2014 году - 196,0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2015 году - 186,7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2016 году - 149,3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2017 году - 194,7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2018 году - 559,0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2019 году - 360,0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2020 году - 00,00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2021 году - 00,00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2022 году - 00,00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2023 году - 00,00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2024 году - 00,00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2025 году - 00,00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бюджета города Чебоксары - 2554511,70 тысяч рублей, в том числе по годам:</w:t>
            </w:r>
          </w:p>
          <w:p w:rsidR="00247B8D" w:rsidRDefault="00247B8D">
            <w:pPr>
              <w:pStyle w:val="ConsPlusNormal"/>
              <w:jc w:val="both"/>
            </w:pPr>
            <w:r>
              <w:t>в 2014 году - 184811,4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2015 году - 183242,0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2016 году - 192829,8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2017 году - 199509,2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2018 году - 217801,3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2019 году - 216542,4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2020 году - 240797,3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2021 году - 247472,6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2022 году - 217876,4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2023 году - 217876,4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2024 году - 217876,4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 2025 году - 217876,4 тысяч рублей;</w:t>
            </w:r>
          </w:p>
          <w:p w:rsidR="00247B8D" w:rsidRDefault="00247B8D">
            <w:pPr>
              <w:pStyle w:val="ConsPlusNormal"/>
              <w:jc w:val="both"/>
            </w:pPr>
            <w:r>
              <w:t>внебюджетных источников в 2014 - 2025 годах составляют 00,00 тысяч рублей.</w:t>
            </w:r>
          </w:p>
          <w:p w:rsidR="00247B8D" w:rsidRDefault="00247B8D">
            <w:pPr>
              <w:pStyle w:val="ConsPlusNormal"/>
              <w:jc w:val="both"/>
            </w:pPr>
            <w:r>
      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Раздел 4</w:t>
        </w:r>
      </w:hyperlink>
      <w:r>
        <w:t xml:space="preserve"> муниципальной программы изложить в следующей редакции: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center"/>
      </w:pPr>
      <w:r>
        <w:t>"Раздел 4. Обоснование объема финансовых ресурсов,</w:t>
      </w:r>
    </w:p>
    <w:p w:rsidR="00247B8D" w:rsidRDefault="00247B8D">
      <w:pPr>
        <w:pStyle w:val="ConsPlusNormal"/>
        <w:jc w:val="center"/>
      </w:pPr>
      <w:r>
        <w:t>необходимых для реализации муниципальной программы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ind w:firstLine="540"/>
        <w:jc w:val="both"/>
      </w:pPr>
      <w:r>
        <w:t>Общий объем финансирования мероприятий муниципальной программы будет осуществляться за счет средств федерального бюджета, республиканского бюджета Чувашской Республики и за счет средств бюджета города Чебоксары в 2014 - 2025 годах и составляет 2720069,7 тысяч рублей, в том числе: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- 197119,7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lastRenderedPageBreak/>
        <w:t>в 2015 году - 193848,9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- 205095,7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- 212465,9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- 234837,3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- 231632,4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- 255203,7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- 260534,8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- 232332,8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- 232332,8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- 232332,8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- 232332,8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федерального бюджета - 163912,30 тысяч рублей, в том числе по годам: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- 12112,3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2015 году - 10420,2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- 12116,6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- 12762,0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- 16477,0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- 14730,0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- 14406,4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- 13062,2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- 14456,4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- 14456,4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- 14456,4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- 14456,4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- 1645,7 тысяч рублей, в том числе по годам: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- 196,0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2015 году - 186,7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- 149,3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lastRenderedPageBreak/>
        <w:t>в 2017 году - 194,7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- 559,0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- 360,0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бюджета города Чебоксары - 2554511,70 тысяч рублей, в том числе по годам: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- 184811,4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2015 году - 183242,0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- 192829,8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- 199509,2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- 217801,3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- 216542,4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- 240797,3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- 247472,6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- 217876,4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- 217876,4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- 217876,4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- 217876,4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00,00 тысяч рублей.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Сведения о финансовом обеспечении муниципальной программы, подпрограмм, основных мероприятий программы по годам ее реализации представлены в приложении N 2.".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1.3. </w:t>
      </w:r>
      <w:hyperlink r:id="rId13">
        <w:r>
          <w:rPr>
            <w:color w:val="0000FF"/>
          </w:rPr>
          <w:t>Приложение N 1</w:t>
        </w:r>
      </w:hyperlink>
      <w:r>
        <w:t xml:space="preserve"> к муниципальной программе изложить в редакции согласно </w:t>
      </w:r>
      <w:hyperlink w:anchor="P238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1.4. </w:t>
      </w:r>
      <w:hyperlink r:id="rId14">
        <w:r>
          <w:rPr>
            <w:color w:val="0000FF"/>
          </w:rPr>
          <w:t>Приложение N 2</w:t>
        </w:r>
      </w:hyperlink>
      <w:r>
        <w:t xml:space="preserve"> к муниципальной программе изложить в редакции согласно </w:t>
      </w:r>
      <w:hyperlink w:anchor="P642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1.5. В </w:t>
      </w:r>
      <w:hyperlink r:id="rId15">
        <w:r>
          <w:rPr>
            <w:color w:val="0000FF"/>
          </w:rPr>
          <w:t>приложении N 3</w:t>
        </w:r>
      </w:hyperlink>
      <w:r>
        <w:t xml:space="preserve"> к муниципальной программе: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lastRenderedPageBreak/>
        <w:t xml:space="preserve">1.5.1. В </w:t>
      </w:r>
      <w:hyperlink r:id="rId16">
        <w:r>
          <w:rPr>
            <w:color w:val="0000FF"/>
          </w:rPr>
          <w:t>паспорте</w:t>
        </w:r>
      </w:hyperlink>
      <w:r>
        <w:t xml:space="preserve"> подпрограммы "Совершенствование кадровой политики и развитие кадрового потенциала муниципальной службы города Чебоксары" (далее - Подпрограмма):</w:t>
      </w:r>
    </w:p>
    <w:p w:rsidR="00247B8D" w:rsidRDefault="00247B8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позицию</w:t>
        </w:r>
      </w:hyperlink>
      <w:r>
        <w:t xml:space="preserve"> "Объем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источников" изложить в следующей редакции: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"Общий объем финансирования мероприятий Подпрограммы в 2014 - 2025 годах составляет 5257,4 тысяч рублей, в том числе: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- 500,0 тысяч рублей,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2014 - 2025 годах составляют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бюджета города Чебоксары составляют 5257,4 тысяч рублей, в том числе по годам: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lastRenderedPageBreak/>
        <w:t>в 2022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- 500,0 тысяч рублей,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00,00 тысяч рублей.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Объемы финансирования Подпрограммы уточняются при формировании бюджета города Чебоксары на очередной финансовый год и плановый период.".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1.5.2. </w:t>
      </w:r>
      <w:hyperlink r:id="rId18">
        <w:r>
          <w:rPr>
            <w:color w:val="0000FF"/>
          </w:rPr>
          <w:t>Раздел 4</w:t>
        </w:r>
      </w:hyperlink>
      <w:r>
        <w:t xml:space="preserve"> Подпрограммы изложить в следующей редакции: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center"/>
      </w:pPr>
      <w:r>
        <w:t>"Раздел 4. Обоснование объема финансовых ресурсов,</w:t>
      </w:r>
    </w:p>
    <w:p w:rsidR="00247B8D" w:rsidRDefault="00247B8D">
      <w:pPr>
        <w:pStyle w:val="ConsPlusNormal"/>
        <w:jc w:val="center"/>
      </w:pPr>
      <w:r>
        <w:t>необходимых для реализации подпрограммы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ind w:firstLine="540"/>
        <w:jc w:val="both"/>
      </w:pPr>
      <w:r>
        <w:t>Финансовое обеспечение реализации Подпрограммы осуществляется за счет средств бюджетов всех уровней.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Общий объем финансирования мероприятий Подпрограммы за счет средств бюджета города Чебоксары в 2014 - 2025 годах составляет 5257,4 тысяч рублей, в том числе: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2015 году - 311,9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- 500,0 тысяч рублей,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из них средства: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федерального бюджета в 2014 - 2025 годах составляют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республиканского бюджета Чувашской Республики в 2014 - 2025 годах составляют 00,00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бюджета города Чебоксары составляют 5257,4 тысяч рублей, в том числе по годам: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2014 году - 580,6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lastRenderedPageBreak/>
        <w:t>в 2015 году - 311,9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2016 году - 600,0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2017 году - 404,9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2018 году - 150,0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2019 году - 260,0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2020 году - 450,0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2021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2022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2023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2024 году - 500,0 тысяч рублей;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 2025 году - 500,0 тысяч рублей,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внебюджетных источников в 2014 - 2025 годах составляют 00,00 тысяч рублей.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Объемы и источники финансирования Подпрограммы уточняются ежегодно при формировании бюджета города Чебоксары на очередной финансовый год и плановый период.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Перечень основных мероприятий Подпрограммы и ресурсное обеспечение реализации Подпрограммы приведены в приложении N 2 к Подпрограмме.".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1.5.3. </w:t>
      </w:r>
      <w:hyperlink r:id="rId19">
        <w:r>
          <w:rPr>
            <w:color w:val="0000FF"/>
          </w:rPr>
          <w:t>Приложение N 2</w:t>
        </w:r>
      </w:hyperlink>
      <w:r>
        <w:t xml:space="preserve"> к Подпрограмме изложить в редакции согласно </w:t>
      </w:r>
      <w:hyperlink w:anchor="P2246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1.6. В </w:t>
      </w:r>
      <w:hyperlink r:id="rId20">
        <w:r>
          <w:rPr>
            <w:color w:val="0000FF"/>
          </w:rPr>
          <w:t>приложении N 5</w:t>
        </w:r>
      </w:hyperlink>
      <w:r>
        <w:t xml:space="preserve"> к муниципальной программе: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1.6.1. В паспорте подпрограммы "Противодействие коррупции в городе Чебоксары" (далее - Подпрограмма) </w:t>
      </w:r>
      <w:hyperlink r:id="rId21">
        <w:r>
          <w:rPr>
            <w:color w:val="0000FF"/>
          </w:rPr>
          <w:t>абзац шестой</w:t>
        </w:r>
      </w:hyperlink>
      <w:r>
        <w:t xml:space="preserve"> позиции "Важнейшие целевые индикаторы и показатели Подпрограммы" изложить в следующей редакции: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"уровень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коррупции, - 4 балла;".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1.6.2. </w:t>
      </w:r>
      <w:hyperlink r:id="rId22">
        <w:r>
          <w:rPr>
            <w:color w:val="0000FF"/>
          </w:rPr>
          <w:t>Абзац двадцать второй раздела II</w:t>
        </w:r>
      </w:hyperlink>
      <w:r>
        <w:t xml:space="preserve"> Подпрограммы изложить в следующей редакции: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"уровень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- 4 балла;".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 xml:space="preserve">1.6.3. </w:t>
      </w:r>
      <w:hyperlink r:id="rId23">
        <w:r>
          <w:rPr>
            <w:color w:val="0000FF"/>
          </w:rPr>
          <w:t>Приложение N 1</w:t>
        </w:r>
      </w:hyperlink>
      <w:r>
        <w:t xml:space="preserve"> к Подпрограмме изложить в редакции согласно </w:t>
      </w:r>
      <w:hyperlink w:anchor="P2932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2.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со дня его официального опубликования.</w:t>
      </w:r>
    </w:p>
    <w:p w:rsidR="00247B8D" w:rsidRDefault="00247B8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- руководителя аппарата А.Ю.Маклыгина.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</w:pPr>
      <w:r>
        <w:t>Глава администрации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А.О.ЛАДЫКОВ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  <w:outlineLvl w:val="0"/>
      </w:pPr>
      <w:r>
        <w:t>Приложение N 1</w:t>
      </w:r>
    </w:p>
    <w:p w:rsidR="00247B8D" w:rsidRDefault="00247B8D">
      <w:pPr>
        <w:pStyle w:val="ConsPlusNormal"/>
        <w:jc w:val="right"/>
      </w:pPr>
      <w:r>
        <w:t>к постановлению</w:t>
      </w:r>
    </w:p>
    <w:p w:rsidR="00247B8D" w:rsidRDefault="00247B8D">
      <w:pPr>
        <w:pStyle w:val="ConsPlusNormal"/>
        <w:jc w:val="right"/>
      </w:pPr>
      <w:r>
        <w:t>администрации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от 27.08.2020 N 1528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</w:pPr>
      <w:hyperlink r:id="rId24">
        <w:r>
          <w:rPr>
            <w:color w:val="0000FF"/>
          </w:rPr>
          <w:t>Приложение N 1</w:t>
        </w:r>
      </w:hyperlink>
    </w:p>
    <w:p w:rsidR="00247B8D" w:rsidRDefault="00247B8D">
      <w:pPr>
        <w:pStyle w:val="ConsPlusNormal"/>
        <w:jc w:val="right"/>
      </w:pPr>
      <w:r>
        <w:t>к муниципальной программе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"Развитие потенциала</w:t>
      </w:r>
    </w:p>
    <w:p w:rsidR="00247B8D" w:rsidRDefault="00247B8D">
      <w:pPr>
        <w:pStyle w:val="ConsPlusNormal"/>
        <w:jc w:val="right"/>
      </w:pPr>
      <w:r>
        <w:t>муниципального управления</w:t>
      </w:r>
    </w:p>
    <w:p w:rsidR="00247B8D" w:rsidRDefault="00247B8D">
      <w:pPr>
        <w:pStyle w:val="ConsPlusNormal"/>
        <w:jc w:val="right"/>
      </w:pPr>
      <w:r>
        <w:t>города Чебоксары"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Title"/>
        <w:jc w:val="center"/>
      </w:pPr>
      <w:bookmarkStart w:id="0" w:name="P238"/>
      <w:bookmarkEnd w:id="0"/>
      <w:r>
        <w:t>СВЕДЕНИЯ</w:t>
      </w:r>
    </w:p>
    <w:p w:rsidR="00247B8D" w:rsidRDefault="00247B8D">
      <w:pPr>
        <w:pStyle w:val="ConsPlusTitle"/>
        <w:jc w:val="center"/>
      </w:pPr>
      <w:r>
        <w:t>О ВАЖНЕЙШИХ ЦЕЛЕВЫХ ИНДИКАТОРАХ И ПОКАЗАТЕЛЯХ</w:t>
      </w:r>
    </w:p>
    <w:p w:rsidR="00247B8D" w:rsidRDefault="00247B8D">
      <w:pPr>
        <w:pStyle w:val="ConsPlusTitle"/>
        <w:jc w:val="center"/>
      </w:pPr>
      <w:r>
        <w:t>МУНИЦИПАЛЬНОЙ ПРОГРАММЫ, ПОДПРОГРАММ</w:t>
      </w:r>
    </w:p>
    <w:p w:rsidR="00247B8D" w:rsidRDefault="00247B8D">
      <w:pPr>
        <w:pStyle w:val="ConsPlusTitle"/>
        <w:jc w:val="center"/>
      </w:pPr>
      <w:r>
        <w:t>МУНИЦИПАЛЬНОЙ ПРОГРАММЫ И ИХ ЗНАЧЕНИЯХ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sectPr w:rsidR="00247B8D" w:rsidSect="00F51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948"/>
        <w:gridCol w:w="1077"/>
        <w:gridCol w:w="737"/>
        <w:gridCol w:w="737"/>
        <w:gridCol w:w="794"/>
        <w:gridCol w:w="794"/>
        <w:gridCol w:w="737"/>
        <w:gridCol w:w="794"/>
        <w:gridCol w:w="737"/>
        <w:gridCol w:w="737"/>
        <w:gridCol w:w="737"/>
        <w:gridCol w:w="794"/>
        <w:gridCol w:w="737"/>
        <w:gridCol w:w="737"/>
      </w:tblGrid>
      <w:tr w:rsidR="00247B8D">
        <w:tc>
          <w:tcPr>
            <w:tcW w:w="46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N</w:t>
            </w:r>
          </w:p>
          <w:p w:rsidR="00247B8D" w:rsidRDefault="00247B8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Важнейшие целевые индикаторы и показатели муниципальной программы (наименование)</w:t>
            </w: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2" w:type="dxa"/>
            <w:gridSpan w:val="12"/>
          </w:tcPr>
          <w:p w:rsidR="00247B8D" w:rsidRDefault="00247B8D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247B8D">
        <w:tc>
          <w:tcPr>
            <w:tcW w:w="46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2948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2025 год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15</w:t>
            </w:r>
          </w:p>
        </w:tc>
      </w:tr>
      <w:tr w:rsidR="00247B8D">
        <w:tc>
          <w:tcPr>
            <w:tcW w:w="13557" w:type="dxa"/>
            <w:gridSpan w:val="15"/>
          </w:tcPr>
          <w:p w:rsidR="00247B8D" w:rsidRDefault="00247B8D">
            <w:pPr>
              <w:pStyle w:val="ConsPlusNormal"/>
              <w:jc w:val="center"/>
              <w:outlineLvl w:val="1"/>
            </w:pPr>
            <w:r>
              <w:t>Муниципальная программа города Чебоксары "Развитие потенциала муниципального управления"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56,0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Оценка гражданами уровня эффективности муниципальной службы и результативности деятельности муниципальных служащих не ниже чем "удовлетворительно"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удовлетворительно</w:t>
            </w:r>
          </w:p>
        </w:tc>
      </w:tr>
      <w:tr w:rsidR="00247B8D">
        <w:tc>
          <w:tcPr>
            <w:tcW w:w="13557" w:type="dxa"/>
            <w:gridSpan w:val="15"/>
          </w:tcPr>
          <w:p w:rsidR="00247B8D" w:rsidRDefault="00247B8D">
            <w:pPr>
              <w:pStyle w:val="ConsPlusNormal"/>
              <w:jc w:val="center"/>
              <w:outlineLvl w:val="1"/>
            </w:pPr>
            <w:r>
              <w:t>Подпрограмма "Совершенствование кадровой политики и развитие кадрового потенциала муниципальной службы города Чебоксары"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подготовленных нормативных правовых актов администрации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лиц, назначенных из резервов кадров администрации города, в общей численности лиц, включенных в резервы кадров администрации города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25,0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муниципальных служащих, участвовавших в мероприятиях по профессиональному развитию в соответствии с муниципальным заказом на профессиональную переподготовку, повышение квалификации и стажировку муниципальных служащих органов местного самоуправления города Чебоксары в текущем году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лиц, прошедших обучение, в общем количестве лиц, состоящих в резерве кадров администрации города Чебоксары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муниципальных служащих в возрасте до 50 лет, имеющих стаж муниципальной службы 10 и более лет, в общей численности муниципальных служащих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муниципальных служащих в городе Чебоксары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12,0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12,0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12,0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12,0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13,0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14,0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15,5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16,0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17,0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17,5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18,0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80,0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80,0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80,0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80,0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80,0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80,0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Доля муниципальных служащих, в отношении </w:t>
            </w:r>
            <w:r>
              <w:lastRenderedPageBreak/>
              <w:t>которых применяется институт наставничества, в общей численности муниципальных служащих, замещающих должности муниципальной службы, по которым предусмотрено осуществление наставничества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муниципальных,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Количество студентов образовательных организаций высшего образования, прошедших практику в органах местного самоуправления города Чебоксары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247B8D">
        <w:tc>
          <w:tcPr>
            <w:tcW w:w="13557" w:type="dxa"/>
            <w:gridSpan w:val="15"/>
          </w:tcPr>
          <w:p w:rsidR="00247B8D" w:rsidRDefault="00247B8D">
            <w:pPr>
              <w:pStyle w:val="ConsPlusNormal"/>
              <w:jc w:val="center"/>
              <w:outlineLvl w:val="1"/>
            </w:pPr>
            <w:r>
              <w:t>Подпрограмма "Совершенствование муниципального управления в сфере юстиции"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Доля кандидатов в присяжные заседатели муниципального образования города Чебоксары - столицы Чувашской Республики для федеральных судов общей </w:t>
            </w:r>
            <w:r>
              <w:lastRenderedPageBreak/>
              <w:t>юрисдикции,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Срок предоставления информации органами записи актов гражданского состояния гражданам и юридическим лицам (дней)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Наполняемость электронной базы данных актов гражданского состояния, поддержка ее в актуальном состоянии и обеспечение сохранности (процентов)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Предоставление государственных услуг в сфере государственной регистрации актов гражданского состояния в электронном виде (доля заявлений о государственной регистрации актов гражданского состояния и совершении иных юридически значимых действий, поступивших в электронном виде, в общем </w:t>
            </w:r>
            <w:r>
              <w:lastRenderedPageBreak/>
              <w:t>количестве поступивших заявлений)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85,0</w:t>
            </w:r>
          </w:p>
        </w:tc>
      </w:tr>
      <w:tr w:rsidR="00247B8D">
        <w:tc>
          <w:tcPr>
            <w:tcW w:w="13557" w:type="dxa"/>
            <w:gridSpan w:val="15"/>
          </w:tcPr>
          <w:p w:rsidR="00247B8D" w:rsidRDefault="00247B8D">
            <w:pPr>
              <w:pStyle w:val="ConsPlusNormal"/>
              <w:jc w:val="center"/>
              <w:outlineLvl w:val="1"/>
            </w:pPr>
            <w:r>
              <w:lastRenderedPageBreak/>
              <w:t>Подпрограмма "Противодействие коррупции в городе Чебоксары"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муниципальных служащих, в отношении которых лицами, ответственными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исполнительно-</w:t>
            </w:r>
            <w:r>
              <w:lastRenderedPageBreak/>
              <w:t>распорядительном органе города Чебоксары - администрации города Чебоксары, прошедших обучение по вопросам противодействия коррупции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Количество муниципальных служащих в исполнительно-распорядительном органе города Чебоксары - администрации города Чебоксары,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150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Уровень коррупции в исполнительно-</w:t>
            </w:r>
            <w:r>
              <w:lastRenderedPageBreak/>
              <w:t>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</w:tr>
      <w:tr w:rsidR="00247B8D">
        <w:tc>
          <w:tcPr>
            <w:tcW w:w="460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948" w:type="dxa"/>
          </w:tcPr>
          <w:p w:rsidR="00247B8D" w:rsidRDefault="00247B8D">
            <w:pPr>
              <w:pStyle w:val="ConsPlusNormal"/>
              <w:jc w:val="both"/>
            </w:pPr>
            <w:r>
              <w:t>Доля подготовленных муниципальных нормативных правовых актов, регулирующих вопросы противодействия коррупции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</w:tbl>
    <w:p w:rsidR="00247B8D" w:rsidRDefault="00247B8D">
      <w:pPr>
        <w:pStyle w:val="ConsPlusNormal"/>
        <w:sectPr w:rsidR="00247B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  <w:outlineLvl w:val="0"/>
      </w:pPr>
      <w:r>
        <w:t>Приложение N 2</w:t>
      </w:r>
    </w:p>
    <w:p w:rsidR="00247B8D" w:rsidRDefault="00247B8D">
      <w:pPr>
        <w:pStyle w:val="ConsPlusNormal"/>
        <w:jc w:val="right"/>
      </w:pPr>
      <w:r>
        <w:t>к постановлению</w:t>
      </w:r>
    </w:p>
    <w:p w:rsidR="00247B8D" w:rsidRDefault="00247B8D">
      <w:pPr>
        <w:pStyle w:val="ConsPlusNormal"/>
        <w:jc w:val="right"/>
      </w:pPr>
      <w:r>
        <w:t>администрации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от 27.08.2020 N 1528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</w:pPr>
      <w:hyperlink r:id="rId25">
        <w:r>
          <w:rPr>
            <w:color w:val="0000FF"/>
          </w:rPr>
          <w:t>Приложение N 2</w:t>
        </w:r>
      </w:hyperlink>
    </w:p>
    <w:p w:rsidR="00247B8D" w:rsidRDefault="00247B8D">
      <w:pPr>
        <w:pStyle w:val="ConsPlusNormal"/>
        <w:jc w:val="right"/>
      </w:pPr>
      <w:r>
        <w:t>к муниципальной программе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"Развитие потенциала</w:t>
      </w:r>
    </w:p>
    <w:p w:rsidR="00247B8D" w:rsidRDefault="00247B8D">
      <w:pPr>
        <w:pStyle w:val="ConsPlusNormal"/>
        <w:jc w:val="right"/>
      </w:pPr>
      <w:r>
        <w:t>муниципального управления</w:t>
      </w:r>
    </w:p>
    <w:p w:rsidR="00247B8D" w:rsidRDefault="00247B8D">
      <w:pPr>
        <w:pStyle w:val="ConsPlusNormal"/>
        <w:jc w:val="right"/>
      </w:pPr>
      <w:r>
        <w:t>города Чебоксары"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Title"/>
        <w:jc w:val="center"/>
      </w:pPr>
      <w:bookmarkStart w:id="1" w:name="P642"/>
      <w:bookmarkEnd w:id="1"/>
      <w:r>
        <w:t>РЕСУРСНОЕ ОБЕСПЕЧЕНИЕ</w:t>
      </w:r>
    </w:p>
    <w:p w:rsidR="00247B8D" w:rsidRDefault="00247B8D">
      <w:pPr>
        <w:pStyle w:val="ConsPlusTitle"/>
        <w:jc w:val="center"/>
      </w:pPr>
      <w:r>
        <w:t>РЕАЛИЗАЦИИ МУНИЦИПАЛЬНОЙ ПРОГРАММЫ</w:t>
      </w:r>
    </w:p>
    <w:p w:rsidR="00247B8D" w:rsidRDefault="00247B8D">
      <w:pPr>
        <w:pStyle w:val="ConsPlusTitle"/>
        <w:jc w:val="center"/>
      </w:pPr>
      <w:r>
        <w:t>ЗА СЧЕТ ВСЕХ СРЕДСТВ ИСТОЧНИКОВ ФИНАНСИРОВАНИЯ</w:t>
      </w:r>
    </w:p>
    <w:p w:rsidR="00247B8D" w:rsidRDefault="00247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51"/>
        <w:gridCol w:w="1077"/>
        <w:gridCol w:w="964"/>
        <w:gridCol w:w="624"/>
        <w:gridCol w:w="680"/>
        <w:gridCol w:w="1504"/>
        <w:gridCol w:w="680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подпрограммы, </w:t>
            </w:r>
            <w:r>
              <w:lastRenderedPageBreak/>
              <w:t>основного мероприятия и мероприятия</w:t>
            </w: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488" w:type="dxa"/>
            <w:gridSpan w:val="4"/>
          </w:tcPr>
          <w:p w:rsidR="00247B8D" w:rsidRDefault="00247B8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2288" w:type="dxa"/>
            <w:gridSpan w:val="12"/>
          </w:tcPr>
          <w:p w:rsidR="00247B8D" w:rsidRDefault="00247B8D">
            <w:pPr>
              <w:pStyle w:val="ConsPlusNormal"/>
              <w:jc w:val="center"/>
            </w:pPr>
            <w:r>
              <w:t>Оценка расходов по годам, тысяч рублей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ГВР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2025</w:t>
            </w:r>
          </w:p>
        </w:tc>
      </w:tr>
      <w:tr w:rsidR="00247B8D">
        <w:tc>
          <w:tcPr>
            <w:tcW w:w="90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Муниципальная программа города Чебоксары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"Развитие потенциала муниципального управления"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197119,7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193848,9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205095,7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212465,9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234837,3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231632,4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255203,7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260534,8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232332,8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232332,8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232332,8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232332,8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12112,3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10420,2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14406,4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13062,2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184811,4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183242,0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192829,8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199509,2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217801,3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216542,4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240797,3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247472,6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217876,4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217876,4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217876,4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217876,4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Подпро</w:t>
            </w:r>
            <w:r>
              <w:lastRenderedPageBreak/>
              <w:t>грамма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"Совер</w:t>
            </w:r>
            <w:r>
              <w:lastRenderedPageBreak/>
              <w:t>шенствование 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</w:t>
            </w:r>
            <w:r>
              <w:lastRenderedPageBreak/>
              <w:t>страция города Чебоксары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"Развитие муниципальной службы"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Администрации районов города Чебоксары, Управле</w:t>
            </w:r>
            <w:r>
              <w:lastRenderedPageBreak/>
              <w:t>ние архитектуры и градостроительства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1958,9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"Совершенствование муниципального управления в сфере юстиции"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отдел записи актов гражданского состояния, администрации районов города Чебоксары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16837,0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15090,0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14406,4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13062,2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10153,4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10276,0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12116,6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12762,0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16477,0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14730,0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14406,4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13062,2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14456,4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Подпро</w:t>
            </w:r>
            <w:r>
              <w:lastRenderedPageBreak/>
              <w:t>грамма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"Проти</w:t>
            </w:r>
            <w:r>
              <w:lastRenderedPageBreak/>
              <w:t>водействие коррупции в городе Чебоксары"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</w:t>
            </w:r>
            <w:r>
              <w:lastRenderedPageBreak/>
              <w:t>страция города Чебоксары, администрации районов города Чебоксары</w:t>
            </w:r>
          </w:p>
        </w:tc>
        <w:tc>
          <w:tcPr>
            <w:tcW w:w="6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Обеспечение реализации муниципальной программы города Чебоксары </w:t>
            </w:r>
            <w:r>
              <w:lastRenderedPageBreak/>
              <w:t>"Развитие потенциала муниципального управления города Чебоксары"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Администрации районов города Чебоксары, Чебокса</w:t>
            </w:r>
            <w:r>
              <w:lastRenderedPageBreak/>
              <w:t>рское городское Собрание депутатов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184426,8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183116,8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192379,1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199299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217850,3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240347,3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246972,6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Ч5Э0000000x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184230,8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182930,1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192229,8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199104,3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217651,3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216282,4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240347,3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246972,6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217376,4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Обеспечение функций муниципальных органов</w:t>
            </w: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Администрации районов города Чебоксары, Чебоксарское городское Собрание депутатов</w:t>
            </w:r>
          </w:p>
        </w:tc>
        <w:tc>
          <w:tcPr>
            <w:tcW w:w="6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75Э0020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141137,6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75Э0020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183591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182390,7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172487,3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137437,3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147267,6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141225,5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141137,6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154186,9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Ч5Э0100200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68052,9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66246,2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66867,2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59901,5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62666,4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65398,5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68053,8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71486,6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71486,6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71486,6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71486,6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71486,6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24957,6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25017,1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25111,6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18070,7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18756,0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18198,4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20305,2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19691,8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19691,8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24327,2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25277,4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17347,2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18439,3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17964,0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19271,1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20088,9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19271,1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19271,1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19271,1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19271,1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24925,6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26575,3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25751,3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18348,5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18677,5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17921,6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19847,7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20673,3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19847,7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19847,7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19847,7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19847,7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4023,2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4152,1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3777,8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2862,4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3029,5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3053,0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3395,2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3485,6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3485,6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3485,6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3485,6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3485,6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14481,6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14255,8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13921,2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12137,8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12658,5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21912,2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21167,7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11780,8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8769,2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13040,4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18690,0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10877,9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18147,3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18147,3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18147,3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18147,3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18147,3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2.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МБУ "Управление транспортного и хозяйственного обслуживания"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Ч5Э0060</w:t>
            </w:r>
          </w:p>
          <w:p w:rsidR="00247B8D" w:rsidRDefault="00247B8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57839,3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86012,7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Ч5Э0060</w:t>
            </w:r>
          </w:p>
          <w:p w:rsidR="00247B8D" w:rsidRDefault="00247B8D">
            <w:pPr>
              <w:pStyle w:val="ConsPlusNormal"/>
              <w:jc w:val="center"/>
            </w:pPr>
            <w:r>
              <w:t>Ч5Э0100600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579,8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476,4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5511,3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45170,5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49632,3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59949,0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57839,3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86012,7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56416,5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</w:t>
            </w:r>
            <w:r>
              <w:lastRenderedPageBreak/>
              <w:t>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Основное мероприятие 3.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</w:t>
            </w:r>
            <w:r>
              <w:lastRenderedPageBreak/>
              <w:t>органов местного самоуправления Чувашской Республики</w:t>
            </w: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Ч5Э011376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130,0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Основное мероприятие 4.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Заволжское территориальное управление, Чебоксарское городское Собрание депутатов, Управле</w:t>
            </w:r>
            <w:r>
              <w:lastRenderedPageBreak/>
              <w:t>ние архитектуры и градостроительства, Управление образования, Финансовое управление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0103</w:t>
            </w:r>
          </w:p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  <w:p w:rsidR="00247B8D" w:rsidRDefault="00247B8D">
            <w:pPr>
              <w:pStyle w:val="ConsPlusNormal"/>
              <w:jc w:val="center"/>
            </w:pPr>
            <w:r>
              <w:t>0107</w:t>
            </w:r>
          </w:p>
          <w:p w:rsidR="00247B8D" w:rsidRDefault="00247B8D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Ч5Э0173770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16565,1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11259,8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15282,5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18982,4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15048,9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16590,4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  <w:p w:rsidR="00247B8D" w:rsidRDefault="00247B8D">
            <w:pPr>
              <w:pStyle w:val="ConsPlusNormal"/>
              <w:jc w:val="center"/>
            </w:pPr>
            <w:r>
              <w:lastRenderedPageBreak/>
              <w:t>0709</w:t>
            </w:r>
          </w:p>
        </w:tc>
        <w:tc>
          <w:tcPr>
            <w:tcW w:w="150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Ч5Э0173770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14690,3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14894,5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8472,8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6643,0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3575,0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7644,0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7550,9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7598,5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4101,1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8090,0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167,0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5.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</w:t>
            </w:r>
            <w:r>
              <w:lastRenderedPageBreak/>
              <w:t>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Администрации районов города Чебоксары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Ч5ЭБ002</w:t>
            </w:r>
          </w:p>
          <w:p w:rsidR="00247B8D" w:rsidRDefault="00247B8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Ч5ЭБ002</w:t>
            </w:r>
          </w:p>
          <w:p w:rsidR="00247B8D" w:rsidRDefault="00247B8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186,7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149,3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60,9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6.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комиссий, административных правонарушений (за счет средств </w:t>
            </w:r>
            <w:r>
              <w:lastRenderedPageBreak/>
              <w:t>местного бюджета)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Администрации районов города Чебоксары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Ч5ЭГ002</w:t>
            </w:r>
          </w:p>
          <w:p w:rsidR="00247B8D" w:rsidRDefault="00247B8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Бюджет города </w:t>
            </w:r>
            <w:r>
              <w:lastRenderedPageBreak/>
              <w:t>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0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Ч5ЭГ002</w:t>
            </w:r>
          </w:p>
          <w:p w:rsidR="00247B8D" w:rsidRDefault="00247B8D">
            <w:pPr>
              <w:pStyle w:val="ConsPlusNormal"/>
              <w:jc w:val="center"/>
            </w:pPr>
            <w:r>
              <w:t>Ч5Э0173800</w:t>
            </w:r>
          </w:p>
        </w:tc>
        <w:tc>
          <w:tcPr>
            <w:tcW w:w="68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2926,4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1159,0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646,0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337,7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721,3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1461,2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7.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</w:pP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20400,0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Ч5Э0173790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20400,0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Основное мероприятие 8.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Оказание содействия в подготовке и проведении общероссийского голосования по вопросу одобрения изменений в </w:t>
            </w:r>
            <w:hyperlink r:id="rId26">
              <w:r>
                <w:rPr>
                  <w:color w:val="0000FF"/>
                </w:rPr>
                <w:t>Конституцию</w:t>
              </w:r>
            </w:hyperlink>
            <w:r>
              <w:t xml:space="preserve"> Российской Федерации, а также в информировании граждан Россий</w:t>
            </w:r>
            <w:r>
              <w:lastRenderedPageBreak/>
              <w:t>ской Федерации о его подготовке и проведении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Чебоксары, Администрации районов города Чебоксары</w:t>
            </w: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Ч5ЭW175860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90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96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2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</w:tbl>
    <w:p w:rsidR="00247B8D" w:rsidRDefault="00247B8D">
      <w:pPr>
        <w:pStyle w:val="ConsPlusNormal"/>
        <w:sectPr w:rsidR="00247B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  <w:outlineLvl w:val="0"/>
      </w:pPr>
      <w:r>
        <w:t>Приложение N 3</w:t>
      </w:r>
    </w:p>
    <w:p w:rsidR="00247B8D" w:rsidRDefault="00247B8D">
      <w:pPr>
        <w:pStyle w:val="ConsPlusNormal"/>
        <w:jc w:val="right"/>
      </w:pPr>
      <w:r>
        <w:t>к постановлению</w:t>
      </w:r>
    </w:p>
    <w:p w:rsidR="00247B8D" w:rsidRDefault="00247B8D">
      <w:pPr>
        <w:pStyle w:val="ConsPlusNormal"/>
        <w:jc w:val="right"/>
      </w:pPr>
      <w:r>
        <w:t>администрации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от 27.08.2020 N 1528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</w:pPr>
      <w:hyperlink r:id="rId27">
        <w:r>
          <w:rPr>
            <w:color w:val="0000FF"/>
          </w:rPr>
          <w:t>Приложение N 2</w:t>
        </w:r>
      </w:hyperlink>
    </w:p>
    <w:p w:rsidR="00247B8D" w:rsidRDefault="00247B8D">
      <w:pPr>
        <w:pStyle w:val="ConsPlusNormal"/>
        <w:jc w:val="right"/>
      </w:pPr>
      <w:r>
        <w:t>к подпрограмме "Совершенствование</w:t>
      </w:r>
    </w:p>
    <w:p w:rsidR="00247B8D" w:rsidRDefault="00247B8D">
      <w:pPr>
        <w:pStyle w:val="ConsPlusNormal"/>
        <w:jc w:val="right"/>
      </w:pPr>
      <w:r>
        <w:t>кадровой политики и развитие</w:t>
      </w:r>
    </w:p>
    <w:p w:rsidR="00247B8D" w:rsidRDefault="00247B8D">
      <w:pPr>
        <w:pStyle w:val="ConsPlusNormal"/>
        <w:jc w:val="right"/>
      </w:pPr>
      <w:r>
        <w:t>кадрового потенциала</w:t>
      </w:r>
    </w:p>
    <w:p w:rsidR="00247B8D" w:rsidRDefault="00247B8D">
      <w:pPr>
        <w:pStyle w:val="ConsPlusNormal"/>
        <w:jc w:val="right"/>
      </w:pPr>
      <w:r>
        <w:t>муниципальной службы</w:t>
      </w:r>
    </w:p>
    <w:p w:rsidR="00247B8D" w:rsidRDefault="00247B8D">
      <w:pPr>
        <w:pStyle w:val="ConsPlusNormal"/>
        <w:jc w:val="right"/>
      </w:pPr>
      <w:r>
        <w:t>города Чебоксары"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Title"/>
        <w:jc w:val="center"/>
      </w:pPr>
      <w:bookmarkStart w:id="2" w:name="P2246"/>
      <w:bookmarkEnd w:id="2"/>
      <w:r>
        <w:t>РЕСУРСНОЕ ОБЕСПЕЧЕНИЕ</w:t>
      </w:r>
    </w:p>
    <w:p w:rsidR="00247B8D" w:rsidRDefault="00247B8D">
      <w:pPr>
        <w:pStyle w:val="ConsPlusTitle"/>
        <w:jc w:val="center"/>
      </w:pPr>
      <w:r>
        <w:t>РЕАЛИЗАЦИИ ПОДПРОГРАММЫ ЗА СЧЕТ ВСЕХ СРЕДСТВ</w:t>
      </w:r>
    </w:p>
    <w:p w:rsidR="00247B8D" w:rsidRDefault="00247B8D">
      <w:pPr>
        <w:pStyle w:val="ConsPlusTitle"/>
        <w:jc w:val="center"/>
      </w:pPr>
      <w:r>
        <w:t>ИСТОЧНИКОВ ФИНАНСИРОВАНИЯ</w:t>
      </w:r>
    </w:p>
    <w:p w:rsidR="00247B8D" w:rsidRDefault="00247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416"/>
        <w:gridCol w:w="1077"/>
        <w:gridCol w:w="850"/>
        <w:gridCol w:w="567"/>
        <w:gridCol w:w="709"/>
        <w:gridCol w:w="1474"/>
        <w:gridCol w:w="567"/>
        <w:gridCol w:w="794"/>
        <w:gridCol w:w="794"/>
        <w:gridCol w:w="851"/>
        <w:gridCol w:w="737"/>
        <w:gridCol w:w="794"/>
        <w:gridCol w:w="794"/>
        <w:gridCol w:w="713"/>
        <w:gridCol w:w="772"/>
        <w:gridCol w:w="772"/>
        <w:gridCol w:w="684"/>
        <w:gridCol w:w="737"/>
        <w:gridCol w:w="737"/>
      </w:tblGrid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317" w:type="dxa"/>
            <w:gridSpan w:val="4"/>
          </w:tcPr>
          <w:p w:rsidR="00247B8D" w:rsidRDefault="00247B8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179" w:type="dxa"/>
            <w:gridSpan w:val="12"/>
          </w:tcPr>
          <w:p w:rsidR="00247B8D" w:rsidRDefault="00247B8D">
            <w:pPr>
              <w:pStyle w:val="ConsPlusNormal"/>
              <w:jc w:val="center"/>
            </w:pPr>
            <w:r>
              <w:t>Оценка расходов по годам, тыс. руб.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ГР БС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2025</w:t>
            </w:r>
          </w:p>
        </w:tc>
      </w:tr>
      <w:tr w:rsidR="00247B8D">
        <w:tc>
          <w:tcPr>
            <w:tcW w:w="850" w:type="dxa"/>
          </w:tcPr>
          <w:p w:rsidR="00247B8D" w:rsidRDefault="00247B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247B8D" w:rsidRDefault="00247B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Подпрограмма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"Совершенствование </w:t>
            </w:r>
            <w:r>
              <w:lastRenderedPageBreak/>
              <w:t>кадровой политики и развитие кадрового потенциала муниципальной службы города Чебоксары"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</w:t>
            </w:r>
            <w:r>
              <w:lastRenderedPageBreak/>
              <w:t>ия города Чебоксары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Ч520000000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1.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2.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Организация профессионального развития муниципальных служащих, лиц, состоящих в резерве управленческих кадров города Чебоксары, в Молодежном кадровом резерве, кадровом резерве администрации города (далее - кадровые резервы)</w:t>
            </w: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6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74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56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13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72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72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8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09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13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72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72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709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474" w:type="dxa"/>
            <w:tcBorders>
              <w:bottom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56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580,6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311,9</w:t>
            </w:r>
          </w:p>
        </w:tc>
        <w:tc>
          <w:tcPr>
            <w:tcW w:w="851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404,9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13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72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72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684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3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500,0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09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74" w:type="dxa"/>
            <w:tcBorders>
              <w:top w:val="nil"/>
            </w:tcBorders>
          </w:tcPr>
          <w:p w:rsidR="00247B8D" w:rsidRDefault="00247B8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851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9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13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72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72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84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737" w:type="dxa"/>
            <w:vMerge/>
          </w:tcPr>
          <w:p w:rsidR="00247B8D" w:rsidRDefault="00247B8D">
            <w:pPr>
              <w:pStyle w:val="ConsPlusNormal"/>
            </w:pP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3.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 xml:space="preserve">Внедрение на муниципальной службе </w:t>
            </w:r>
            <w:r>
              <w:lastRenderedPageBreak/>
              <w:t>современных кадровых технологий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 xml:space="preserve">Администрация города </w:t>
            </w:r>
            <w:r>
              <w:lastRenderedPageBreak/>
              <w:t>Чебоксары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4.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Формирование и эффективное использование кадровых резервов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</w:t>
            </w:r>
            <w:r>
              <w:lastRenderedPageBreak/>
              <w:t>ое мероприятие 5.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 xml:space="preserve">Повышение </w:t>
            </w:r>
            <w:r>
              <w:lastRenderedPageBreak/>
              <w:t>престижа муниципальной службы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</w:t>
            </w:r>
            <w:r>
              <w:lastRenderedPageBreak/>
              <w:t>истрация города Чебоксары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Основное мероприятие 6.</w:t>
            </w:r>
          </w:p>
        </w:tc>
        <w:tc>
          <w:tcPr>
            <w:tcW w:w="1416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Формирование положительного имиджа органов местного самоуправления в городе Чебоксары</w:t>
            </w: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0" w:type="dxa"/>
            <w:vMerge w:val="restart"/>
          </w:tcPr>
          <w:p w:rsidR="00247B8D" w:rsidRDefault="00247B8D">
            <w:pPr>
              <w:pStyle w:val="ConsPlusNormal"/>
              <w:jc w:val="both"/>
            </w:pPr>
            <w:r>
              <w:t>Администрация города Чебоксары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республиканский бюджет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>бюджет города Чебоксары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  <w:tr w:rsidR="00247B8D"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416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7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850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13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72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4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0,0</w:t>
            </w:r>
          </w:p>
        </w:tc>
      </w:tr>
    </w:tbl>
    <w:p w:rsidR="00247B8D" w:rsidRDefault="00247B8D">
      <w:pPr>
        <w:pStyle w:val="ConsPlusNormal"/>
        <w:sectPr w:rsidR="00247B8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  <w:outlineLvl w:val="0"/>
      </w:pPr>
      <w:r>
        <w:t>Приложение N 4</w:t>
      </w:r>
    </w:p>
    <w:p w:rsidR="00247B8D" w:rsidRDefault="00247B8D">
      <w:pPr>
        <w:pStyle w:val="ConsPlusNormal"/>
        <w:jc w:val="right"/>
      </w:pPr>
      <w:r>
        <w:t>к постановлению</w:t>
      </w:r>
    </w:p>
    <w:p w:rsidR="00247B8D" w:rsidRDefault="00247B8D">
      <w:pPr>
        <w:pStyle w:val="ConsPlusNormal"/>
        <w:jc w:val="right"/>
      </w:pPr>
      <w:r>
        <w:t>администрации</w:t>
      </w:r>
    </w:p>
    <w:p w:rsidR="00247B8D" w:rsidRDefault="00247B8D">
      <w:pPr>
        <w:pStyle w:val="ConsPlusNormal"/>
        <w:jc w:val="right"/>
      </w:pPr>
      <w:r>
        <w:t>города Чебоксары</w:t>
      </w:r>
    </w:p>
    <w:p w:rsidR="00247B8D" w:rsidRDefault="00247B8D">
      <w:pPr>
        <w:pStyle w:val="ConsPlusNormal"/>
        <w:jc w:val="right"/>
      </w:pPr>
      <w:r>
        <w:t>от 27.08.2020 N 1528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right"/>
      </w:pPr>
      <w:hyperlink r:id="rId28">
        <w:r>
          <w:rPr>
            <w:color w:val="0000FF"/>
          </w:rPr>
          <w:t>Приложение N 1</w:t>
        </w:r>
      </w:hyperlink>
    </w:p>
    <w:p w:rsidR="00247B8D" w:rsidRDefault="00247B8D">
      <w:pPr>
        <w:pStyle w:val="ConsPlusNormal"/>
        <w:jc w:val="right"/>
      </w:pPr>
      <w:r>
        <w:t>к подпрограмме</w:t>
      </w:r>
    </w:p>
    <w:p w:rsidR="00247B8D" w:rsidRDefault="00247B8D">
      <w:pPr>
        <w:pStyle w:val="ConsPlusNormal"/>
        <w:jc w:val="right"/>
      </w:pPr>
      <w:r>
        <w:t>"Противодействие коррупции</w:t>
      </w:r>
    </w:p>
    <w:p w:rsidR="00247B8D" w:rsidRDefault="00247B8D">
      <w:pPr>
        <w:pStyle w:val="ConsPlusNormal"/>
        <w:jc w:val="right"/>
      </w:pPr>
      <w:r>
        <w:t>в городе Чебоксары"</w:t>
      </w: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Title"/>
        <w:jc w:val="center"/>
      </w:pPr>
      <w:bookmarkStart w:id="3" w:name="P2932"/>
      <w:bookmarkEnd w:id="3"/>
      <w:r>
        <w:t>СВЕДЕНИЯ</w:t>
      </w:r>
    </w:p>
    <w:p w:rsidR="00247B8D" w:rsidRDefault="00247B8D">
      <w:pPr>
        <w:pStyle w:val="ConsPlusTitle"/>
        <w:jc w:val="center"/>
      </w:pPr>
      <w:r>
        <w:t>О ВАЖНЕЙШИХ ЦЕЛЕВЫХ ИНДИКАТОРАХ И ПОКАЗАТЕЛЯХ</w:t>
      </w:r>
    </w:p>
    <w:p w:rsidR="00247B8D" w:rsidRDefault="00247B8D">
      <w:pPr>
        <w:pStyle w:val="ConsPlusTitle"/>
        <w:jc w:val="center"/>
      </w:pPr>
      <w:r>
        <w:t>ПОДПРОГРАММЫ ГОРОДА ЧЕБОКСАРЫ И ИХ ЗНАЧЕНИЯХ</w:t>
      </w:r>
    </w:p>
    <w:p w:rsidR="00247B8D" w:rsidRDefault="00247B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072"/>
        <w:gridCol w:w="604"/>
        <w:gridCol w:w="604"/>
        <w:gridCol w:w="604"/>
        <w:gridCol w:w="604"/>
        <w:gridCol w:w="604"/>
        <w:gridCol w:w="664"/>
        <w:gridCol w:w="794"/>
        <w:gridCol w:w="737"/>
        <w:gridCol w:w="737"/>
        <w:gridCol w:w="737"/>
        <w:gridCol w:w="794"/>
        <w:gridCol w:w="794"/>
      </w:tblGrid>
      <w:tr w:rsidR="00247B8D">
        <w:tc>
          <w:tcPr>
            <w:tcW w:w="567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N</w:t>
            </w:r>
          </w:p>
          <w:p w:rsidR="00247B8D" w:rsidRDefault="00247B8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Важнейшие целевые индикаторы и показатели Подпрограммы (наименование)</w:t>
            </w:r>
          </w:p>
        </w:tc>
        <w:tc>
          <w:tcPr>
            <w:tcW w:w="1072" w:type="dxa"/>
            <w:vMerge w:val="restart"/>
          </w:tcPr>
          <w:p w:rsidR="00247B8D" w:rsidRDefault="00247B8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277" w:type="dxa"/>
            <w:gridSpan w:val="12"/>
          </w:tcPr>
          <w:p w:rsidR="00247B8D" w:rsidRDefault="00247B8D">
            <w:pPr>
              <w:pStyle w:val="ConsPlusNormal"/>
              <w:jc w:val="center"/>
            </w:pPr>
            <w:r>
              <w:t>Значение показателей</w:t>
            </w:r>
          </w:p>
        </w:tc>
      </w:tr>
      <w:tr w:rsidR="00247B8D">
        <w:tc>
          <w:tcPr>
            <w:tcW w:w="567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3118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1072" w:type="dxa"/>
            <w:vMerge/>
          </w:tcPr>
          <w:p w:rsidR="00247B8D" w:rsidRDefault="00247B8D">
            <w:pPr>
              <w:pStyle w:val="ConsPlusNormal"/>
            </w:pP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2025 год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15</w:t>
            </w:r>
          </w:p>
        </w:tc>
      </w:tr>
      <w:tr w:rsidR="00247B8D">
        <w:tc>
          <w:tcPr>
            <w:tcW w:w="13034" w:type="dxa"/>
            <w:gridSpan w:val="15"/>
          </w:tcPr>
          <w:p w:rsidR="00247B8D" w:rsidRDefault="00247B8D">
            <w:pPr>
              <w:pStyle w:val="ConsPlusNormal"/>
              <w:jc w:val="center"/>
            </w:pPr>
            <w:r>
              <w:t>Подпрограмма "Противодействие коррупции в городе Чебоксары"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доля муниципальных служащих, в отношении которых лицами, ответственными за работу по профилактике коррупционных </w:t>
            </w:r>
            <w:r>
              <w:lastRenderedPageBreak/>
              <w:t>и иных правонарушений в исполнительно-распорядительном органе города Чебоксары - администрации города Чебоксары,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both"/>
            </w:pPr>
            <w:r>
              <w:t>доля лиц, ответственных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прошедших обучение по вопросам противодействия коррупции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доля лиц, сведения о доходах, расходах, об имуществе и обязательствах имущественного характера которых опубликованы, в </w:t>
            </w:r>
            <w:r>
              <w:lastRenderedPageBreak/>
              <w:t>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both"/>
            </w:pPr>
            <w:r>
              <w:t>количество муниципальных служащих в исполнительно-распорядительном органе города Чебоксары - администрации города Чебоксары,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150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both"/>
            </w:pPr>
            <w:r>
              <w:t xml:space="preserve"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</w:t>
            </w:r>
            <w:r>
              <w:lastRenderedPageBreak/>
              <w:t>коррупции)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балл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4</w:t>
            </w:r>
          </w:p>
        </w:tc>
      </w:tr>
      <w:tr w:rsidR="00247B8D">
        <w:tc>
          <w:tcPr>
            <w:tcW w:w="567" w:type="dxa"/>
          </w:tcPr>
          <w:p w:rsidR="00247B8D" w:rsidRDefault="00247B8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118" w:type="dxa"/>
          </w:tcPr>
          <w:p w:rsidR="00247B8D" w:rsidRDefault="00247B8D">
            <w:pPr>
              <w:pStyle w:val="ConsPlusNormal"/>
              <w:jc w:val="both"/>
            </w:pPr>
            <w:r>
              <w:t>доля подготовленных муниципальных нормативных правовых актов, регулирующих вопросы противодействия коррупции</w:t>
            </w:r>
          </w:p>
        </w:tc>
        <w:tc>
          <w:tcPr>
            <w:tcW w:w="1072" w:type="dxa"/>
          </w:tcPr>
          <w:p w:rsidR="00247B8D" w:rsidRDefault="00247B8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247B8D" w:rsidRDefault="00247B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247B8D" w:rsidRDefault="00247B8D">
            <w:pPr>
              <w:pStyle w:val="ConsPlusNormal"/>
              <w:jc w:val="center"/>
            </w:pPr>
            <w:r>
              <w:t>100,0</w:t>
            </w:r>
          </w:p>
        </w:tc>
      </w:tr>
    </w:tbl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jc w:val="both"/>
      </w:pPr>
    </w:p>
    <w:p w:rsidR="00247B8D" w:rsidRDefault="00247B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4" w:name="_GoBack"/>
      <w:bookmarkEnd w:id="4"/>
    </w:p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8D"/>
    <w:rsid w:val="00090989"/>
    <w:rsid w:val="000E20A8"/>
    <w:rsid w:val="00247B8D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7B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7B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7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7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7B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7B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7B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7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7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7B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7B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24943" TargetMode="External"/><Relationship Id="rId13" Type="http://schemas.openxmlformats.org/officeDocument/2006/relationships/hyperlink" Target="https://login.consultant.ru/link/?req=doc&amp;base=RLAW098&amp;n=127396&amp;dst=117754" TargetMode="External"/><Relationship Id="rId18" Type="http://schemas.openxmlformats.org/officeDocument/2006/relationships/hyperlink" Target="https://login.consultant.ru/link/?req=doc&amp;base=RLAW098&amp;n=127396&amp;dst=119551" TargetMode="External"/><Relationship Id="rId26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27396&amp;dst=113589" TargetMode="External"/><Relationship Id="rId7" Type="http://schemas.openxmlformats.org/officeDocument/2006/relationships/hyperlink" Target="https://login.consultant.ru/link/?req=doc&amp;base=LAW&amp;n=357117" TargetMode="External"/><Relationship Id="rId12" Type="http://schemas.openxmlformats.org/officeDocument/2006/relationships/hyperlink" Target="https://login.consultant.ru/link/?req=doc&amp;base=RLAW098&amp;n=127396&amp;dst=121799" TargetMode="External"/><Relationship Id="rId17" Type="http://schemas.openxmlformats.org/officeDocument/2006/relationships/hyperlink" Target="https://login.consultant.ru/link/?req=doc&amp;base=RLAW098&amp;n=127396&amp;dst=119544" TargetMode="External"/><Relationship Id="rId25" Type="http://schemas.openxmlformats.org/officeDocument/2006/relationships/hyperlink" Target="https://login.consultant.ru/link/?req=doc&amp;base=RLAW098&amp;n=127396&amp;dst=1218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27396&amp;dst=105244" TargetMode="External"/><Relationship Id="rId20" Type="http://schemas.openxmlformats.org/officeDocument/2006/relationships/hyperlink" Target="https://login.consultant.ru/link/?req=doc&amp;base=RLAW098&amp;n=127396&amp;dst=11356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850" TargetMode="External"/><Relationship Id="rId11" Type="http://schemas.openxmlformats.org/officeDocument/2006/relationships/hyperlink" Target="https://login.consultant.ru/link/?req=doc&amp;base=RLAW098&amp;n=127396&amp;dst=121792" TargetMode="External"/><Relationship Id="rId24" Type="http://schemas.openxmlformats.org/officeDocument/2006/relationships/hyperlink" Target="https://login.consultant.ru/link/?req=doc&amp;base=RLAW098&amp;n=127396&amp;dst=11775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27396&amp;dst=105243" TargetMode="External"/><Relationship Id="rId23" Type="http://schemas.openxmlformats.org/officeDocument/2006/relationships/hyperlink" Target="https://login.consultant.ru/link/?req=doc&amp;base=RLAW098&amp;n=127396&amp;dst=121669" TargetMode="External"/><Relationship Id="rId28" Type="http://schemas.openxmlformats.org/officeDocument/2006/relationships/hyperlink" Target="https://login.consultant.ru/link/?req=doc&amp;base=RLAW098&amp;n=127396&amp;dst=121669" TargetMode="External"/><Relationship Id="rId10" Type="http://schemas.openxmlformats.org/officeDocument/2006/relationships/hyperlink" Target="https://login.consultant.ru/link/?req=doc&amp;base=RLAW098&amp;n=127396&amp;dst=103785" TargetMode="External"/><Relationship Id="rId19" Type="http://schemas.openxmlformats.org/officeDocument/2006/relationships/hyperlink" Target="https://login.consultant.ru/link/?req=doc&amp;base=RLAW098&amp;n=127396&amp;dst=119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27521" TargetMode="External"/><Relationship Id="rId14" Type="http://schemas.openxmlformats.org/officeDocument/2006/relationships/hyperlink" Target="https://login.consultant.ru/link/?req=doc&amp;base=RLAW098&amp;n=127396&amp;dst=121857" TargetMode="External"/><Relationship Id="rId22" Type="http://schemas.openxmlformats.org/officeDocument/2006/relationships/hyperlink" Target="https://login.consultant.ru/link/?req=doc&amp;base=RLAW098&amp;n=127396&amp;dst=113657" TargetMode="External"/><Relationship Id="rId27" Type="http://schemas.openxmlformats.org/officeDocument/2006/relationships/hyperlink" Target="https://login.consultant.ru/link/?req=doc&amp;base=RLAW098&amp;n=127396&amp;dst=11978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6288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2024-05-20T13:17:00Z</dcterms:created>
  <dcterms:modified xsi:type="dcterms:W3CDTF">2024-05-20T13:17:00Z</dcterms:modified>
</cp:coreProperties>
</file>