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right="467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ind w:hanging="0" w:right="467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ind w:hanging="0" w:right="467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ind w:hanging="0" w:right="467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16"/>
        <w:ind w:hanging="0" w:left="-284" w:right="467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16"/>
        <w:ind w:hanging="0" w:left="-284" w:right="467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16"/>
        <w:ind w:hanging="0" w:left="-284" w:right="5670"/>
        <w:jc w:val="both"/>
        <w:rPr>
          <w:rFonts w:ascii="PT Astra Serif" w:hAnsi="PT Astra Serif" w:cs="PT Astra Serif"/>
          <w:b/>
          <w:bCs/>
          <w:i w:val="false"/>
          <w:i w:val="false"/>
          <w:iCs w:val="false"/>
          <w:sz w:val="26"/>
          <w:szCs w:val="26"/>
          <w:u w:val="none"/>
        </w:rPr>
      </w:pPr>
      <w:r>
        <w:rPr>
          <w:rFonts w:cs="PT Astra Serif" w:ascii="PT Astra Serif" w:hAnsi="PT Astra Serif"/>
          <w:b/>
          <w:bCs/>
          <w:i w:val="false"/>
          <w:iCs w:val="false"/>
          <w:sz w:val="26"/>
          <w:szCs w:val="26"/>
          <w:u w:val="none"/>
        </w:rPr>
      </w:r>
    </w:p>
    <w:p>
      <w:pPr>
        <w:pStyle w:val="Normal"/>
        <w:ind w:hanging="0" w:left="-284" w:right="567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eastAsia="PT Astra Serif" w:cs="PT Astra Serif" w:ascii="PT Astra Serif" w:hAnsi="PT Astra Serif"/>
          <w:b/>
          <w:bCs/>
          <w:i w:val="false"/>
          <w:iCs w:val="false"/>
          <w:sz w:val="26"/>
          <w:szCs w:val="26"/>
          <w:u w:val="none"/>
        </w:rPr>
        <w:t xml:space="preserve">Об установлении нормативов потерь питьевой воды в централизованных системах водоснабжения </w:t>
      </w:r>
      <w:r>
        <w:rPr>
          <w:rFonts w:eastAsia="PT Astra Serif" w:cs="PT Astra Serif" w:ascii="PT Astra Serif" w:hAnsi="PT Astra Serif"/>
          <w:b/>
          <w:color w:val="000000"/>
          <w:sz w:val="26"/>
          <w:szCs w:val="26"/>
        </w:rPr>
        <w:t>при ее производстве и транспортировке по сетям  Яльчикского территориального отдела администрации Яльчикского муниципального округа Чувашской Республики (д. Новое Булаево, д. Тоскаево, д. Новое Тойдеряково, д. Апанасово-Темяши, с. Байдеряково) на 2025-2029 годы</w:t>
      </w:r>
    </w:p>
    <w:p>
      <w:pPr>
        <w:pStyle w:val="Normal"/>
        <w:ind w:hanging="0" w:left="-284" w:right="5670"/>
        <w:jc w:val="both"/>
        <w:rPr>
          <w:rFonts w:ascii="PT Astra Serif" w:hAnsi="PT Astra Serif" w:cs="PT Astra Serif"/>
          <w:b/>
          <w:bCs w:val="false"/>
          <w:i w:val="false"/>
          <w:i w:val="false"/>
          <w:sz w:val="26"/>
          <w:szCs w:val="26"/>
          <w:u w:val="none"/>
        </w:rPr>
      </w:pPr>
      <w:r>
        <w:rPr>
          <w:rFonts w:cs="PT Astra Serif" w:ascii="PT Astra Serif" w:hAnsi="PT Astra Serif"/>
          <w:b/>
          <w:bCs w:val="false"/>
          <w:i w:val="false"/>
          <w:sz w:val="26"/>
          <w:szCs w:val="26"/>
          <w:u w:val="none"/>
        </w:rPr>
      </w:r>
    </w:p>
    <w:p>
      <w:pPr>
        <w:pStyle w:val="Normal"/>
        <w:spacing w:lineRule="auto" w:line="216"/>
        <w:ind w:firstLine="1135" w:left="-284"/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eastAsia="Calibri" w:ascii="Times New Roman" w:hAnsi="Times New Roman" w:eastAsiaTheme="minorHAnsi"/>
          <w:b w:val="false"/>
          <w:bCs w:val="false"/>
          <w:sz w:val="26"/>
          <w:szCs w:val="25"/>
          <w:lang w:eastAsia="en-US"/>
        </w:rPr>
        <w:t xml:space="preserve">В соответствии с пунктом 3.1 части 1 статьи 5 Федерального закона от 7 декабря 2011 г. № 416-ФЗ «О водоснабжении и водоотведении», приказом Министерства строительства и жилищно-коммунального хозяйства Российской Федерации от 17 октября 2014  г. № 640/пр «Об утверждении Методических указаний по расчету потерь горячей, питьевой, технической воды в централизованных системах водоснабжения при ее производстве и транспортировке» (зарегистрирован в Министерстве юстиции Российской Федерации 17 февраля 2015 г., регистрационный № 36064), приказом Министерства строительства и жилищно-коммунального хозяйства Российской Федерации от 28 октября 2022 г. № 917/пр «Об утверждении Порядка установления нормативов потерь горячей, питьевой, технической воды в централизованных системах водоснабжения при ее производстве и транспортировке и внесении изменений в некоторые приказы Министерства строительства и жилищно-коммунального хозяйства Российской Федерации по вопросам определения потерь горячей, питьевой, технической воды в централизованных системах водоснабжения» (зарегистрирован в Министерстве юстиции Российской Федерации 30 ноября 2022 г., регистрационный № 71258), подпунктом 41.25 пункта 41 раздела III Положения о Министерстве строительства, архитектуры и жилищно-коммунального хозяйства Чувашской Республики, утвержденного постановлением Кабинета Министров Чувашской Республики от 4 июня 2012 г. № 214,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п р и к а з ы в а ю:</w:t>
      </w:r>
    </w:p>
    <w:p>
      <w:pPr>
        <w:pStyle w:val="Normal"/>
        <w:spacing w:lineRule="auto" w:line="216"/>
        <w:ind w:firstLine="992" w:left="-284"/>
        <w:jc w:val="both"/>
        <w:rPr>
          <w:rFonts w:ascii="Times New Roman" w:hAnsi="Times New Roman" w:eastAsia="Calibri" w:eastAsiaTheme="minorHAnsi"/>
          <w:b w:val="false"/>
          <w:bCs w:val="false"/>
          <w:sz w:val="26"/>
          <w:szCs w:val="25"/>
        </w:rPr>
      </w:pPr>
      <w:r>
        <w:rPr>
          <w:rFonts w:eastAsia="Calibri" w:ascii="Times New Roman" w:hAnsi="Times New Roman" w:eastAsiaTheme="minorHAnsi"/>
          <w:b w:val="false"/>
          <w:bCs w:val="false"/>
          <w:sz w:val="26"/>
          <w:szCs w:val="25"/>
          <w:lang w:eastAsia="en-US"/>
        </w:rPr>
        <w:t xml:space="preserve">1. Установить нормативы потерь питьевой воды в централизованных системах водоснабжения </w:t>
      </w:r>
      <w:r>
        <w:rPr>
          <w:rFonts w:eastAsia="PT Astra Serif" w:cs="PT Astra Serif" w:ascii="PT Astra Serif" w:hAnsi="PT Astra Serif"/>
          <w:b w:val="false"/>
          <w:bCs w:val="false"/>
          <w:color w:val="000000"/>
          <w:sz w:val="26"/>
          <w:szCs w:val="26"/>
        </w:rPr>
        <w:t>при ее производстве и транспортировке по сетям  Яльчикского территориального отдела администрации Яльчикского муниципального округа Чувашской Республики (д. Новое Булаево, д. Тоскаево, д. Новое Тойдеряково, д. Апанасово-Темяши, с. Байдеряково) на 2025-2029  годы</w:t>
      </w:r>
      <w:r>
        <w:rPr>
          <w:rFonts w:eastAsia="Calibri" w:ascii="Times New Roman" w:hAnsi="Times New Roman" w:eastAsiaTheme="minorHAnsi"/>
          <w:b w:val="false"/>
          <w:bCs w:val="false"/>
          <w:sz w:val="26"/>
          <w:szCs w:val="25"/>
          <w:lang w:eastAsia="en-US"/>
        </w:rPr>
        <w:t xml:space="preserve"> согласно приложению.</w:t>
      </w:r>
    </w:p>
    <w:p>
      <w:pPr>
        <w:pStyle w:val="Normal"/>
        <w:spacing w:lineRule="auto" w:line="216"/>
        <w:ind w:firstLine="992" w:left="-284"/>
        <w:jc w:val="both"/>
        <w:rPr>
          <w:rFonts w:ascii="Times New Roman" w:hAnsi="Times New Roman" w:eastAsia="Calibri" w:eastAsiaTheme="minorHAnsi"/>
          <w:b w:val="false"/>
          <w:bCs w:val="false"/>
          <w:sz w:val="26"/>
          <w:szCs w:val="25"/>
        </w:rPr>
      </w:pPr>
      <w:r>
        <w:rPr>
          <w:rFonts w:eastAsia="Calibri" w:ascii="Times New Roman" w:hAnsi="Times New Roman" w:eastAsiaTheme="minorHAnsi"/>
          <w:b w:val="false"/>
          <w:bCs w:val="false"/>
          <w:sz w:val="26"/>
          <w:szCs w:val="25"/>
          <w:lang w:eastAsia="en-US"/>
        </w:rPr>
        <w:t>2. Контроль за исполнением настоящего приказа возложить на заместителя министра строительства, архитектуры и жилищно-коммунального хозяйства Чувашской Республики Филиппову Е.В.</w:t>
      </w:r>
    </w:p>
    <w:p>
      <w:pPr>
        <w:pStyle w:val="Normal"/>
        <w:spacing w:lineRule="auto" w:line="216"/>
        <w:ind w:firstLine="992" w:left="-284"/>
        <w:jc w:val="both"/>
        <w:rPr>
          <w:rFonts w:ascii="Times New Roman" w:hAnsi="Times New Roman" w:eastAsia="Calibri" w:eastAsiaTheme="minorHAnsi"/>
          <w:b w:val="false"/>
          <w:bCs w:val="false"/>
          <w:sz w:val="26"/>
          <w:szCs w:val="25"/>
        </w:rPr>
      </w:pPr>
      <w:r>
        <w:rPr>
          <w:rFonts w:eastAsia="Calibri" w:ascii="Times New Roman" w:hAnsi="Times New Roman" w:eastAsiaTheme="minorHAnsi"/>
          <w:b w:val="false"/>
          <w:bCs w:val="false"/>
          <w:sz w:val="26"/>
          <w:szCs w:val="25"/>
          <w:lang w:eastAsia="en-US"/>
        </w:rPr>
        <w:t>3. Настоящий приказ вступает в силу через десять дней после дня его официального опубликования.</w:t>
      </w:r>
    </w:p>
    <w:p>
      <w:pPr>
        <w:pStyle w:val="Normal"/>
        <w:tabs>
          <w:tab w:val="clear" w:pos="708"/>
          <w:tab w:val="left" w:pos="1641" w:leader="none"/>
        </w:tabs>
        <w:spacing w:lineRule="auto" w:line="216"/>
        <w:ind w:hanging="0" w:left="0"/>
        <w:jc w:val="both"/>
        <w:rPr>
          <w:rFonts w:ascii="Times New Roman" w:hAnsi="Times New Roman"/>
          <w:b w:val="false"/>
          <w:bCs w:val="false"/>
          <w:sz w:val="26"/>
          <w:highlight w:val="yellow"/>
        </w:rPr>
      </w:pPr>
      <w:r>
        <w:rPr>
          <w:rFonts w:ascii="Times New Roman" w:hAnsi="Times New Roman"/>
          <w:b w:val="false"/>
          <w:bCs w:val="false"/>
          <w:sz w:val="26"/>
          <w:highlight w:val="yellow"/>
        </w:rPr>
      </w:r>
    </w:p>
    <w:p>
      <w:pPr>
        <w:pStyle w:val="Normal"/>
        <w:tabs>
          <w:tab w:val="clear" w:pos="708"/>
          <w:tab w:val="left" w:pos="1641" w:leader="none"/>
        </w:tabs>
        <w:spacing w:lineRule="auto" w:line="216"/>
        <w:ind w:hanging="0" w:left="-284"/>
        <w:jc w:val="both"/>
        <w:rPr>
          <w:rFonts w:ascii="Times New Roman" w:hAnsi="Times New Roman"/>
          <w:b w:val="false"/>
          <w:bCs w:val="false"/>
          <w:sz w:val="26"/>
          <w:highlight w:val="yellow"/>
        </w:rPr>
      </w:pPr>
      <w:r>
        <w:rPr>
          <w:rFonts w:ascii="Times New Roman" w:hAnsi="Times New Roman"/>
          <w:b w:val="false"/>
          <w:bCs w:val="false"/>
          <w:sz w:val="26"/>
          <w:highlight w:val="yellow"/>
        </w:rPr>
      </w:r>
    </w:p>
    <w:p>
      <w:pPr>
        <w:pStyle w:val="Normal"/>
        <w:spacing w:lineRule="auto" w:line="216"/>
        <w:ind w:hanging="0" w:left="-284"/>
        <w:jc w:val="left"/>
        <w:rPr>
          <w:rFonts w:ascii="Times New Roman" w:hAnsi="Times New Roman" w:eastAsia="Calibri" w:eastAsiaTheme="minorHAnsi"/>
          <w:bCs/>
          <w:sz w:val="26"/>
          <w:szCs w:val="25"/>
          <w:lang w:eastAsia="en-US"/>
        </w:rPr>
      </w:pPr>
      <w:r>
        <w:rPr>
          <w:rFonts w:eastAsia="Calibri" w:ascii="Times New Roman" w:hAnsi="Times New Roman" w:eastAsiaTheme="minorHAnsi"/>
          <w:bCs/>
          <w:sz w:val="26"/>
          <w:szCs w:val="25"/>
          <w:lang w:eastAsia="en-US"/>
        </w:rPr>
        <w:t>Министр</w:t>
        <w:tab/>
        <w:t xml:space="preserve">           </w:t>
        <w:tab/>
        <w:tab/>
        <w:tab/>
        <w:t xml:space="preserve">                                                 В.М. Максимов</w:t>
      </w:r>
    </w:p>
    <w:p>
      <w:pPr>
        <w:pStyle w:val="Normal"/>
        <w:spacing w:lineRule="auto" w:line="216"/>
        <w:jc w:val="right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</w:p>
    <w:p>
      <w:pPr>
        <w:pStyle w:val="Normal"/>
        <w:spacing w:lineRule="auto" w:line="216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Министерства </w:t>
      </w:r>
    </w:p>
    <w:p>
      <w:pPr>
        <w:pStyle w:val="Normal"/>
        <w:spacing w:lineRule="auto" w:line="216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строительства, архитектуры </w:t>
      </w:r>
    </w:p>
    <w:p>
      <w:pPr>
        <w:pStyle w:val="Normal"/>
        <w:spacing w:lineRule="auto" w:line="216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жилищно-коммунального хозяйства </w:t>
      </w:r>
    </w:p>
    <w:p>
      <w:pPr>
        <w:pStyle w:val="Normal"/>
        <w:spacing w:lineRule="auto" w:line="216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Чувашской Республики </w:t>
      </w:r>
    </w:p>
    <w:p>
      <w:pPr>
        <w:pStyle w:val="Normal"/>
        <w:spacing w:lineRule="auto" w:line="216" w:before="0" w:after="20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6"/>
          <w:szCs w:val="26"/>
        </w:rPr>
        <w:t>от 11.08.2025 № 03-03/364</w:t>
      </w:r>
    </w:p>
    <w:p>
      <w:pPr>
        <w:pStyle w:val="Normal"/>
        <w:spacing w:lineRule="auto" w:line="216" w:before="0" w:after="200"/>
        <w:jc w:val="right"/>
        <w:rPr>
          <w:rFonts w:ascii="Times New Roman" w:hAnsi="Times New Roman"/>
          <w:sz w:val="26"/>
          <w:highlight w:val="yellow"/>
        </w:rPr>
      </w:pPr>
      <w:r>
        <w:rPr>
          <w:rFonts w:ascii="Times New Roman" w:hAnsi="Times New Roman"/>
          <w:sz w:val="26"/>
          <w:highlight w:val="yellow"/>
        </w:rPr>
      </w:r>
    </w:p>
    <w:p>
      <w:pPr>
        <w:pStyle w:val="Default"/>
        <w:spacing w:lineRule="auto" w:line="216"/>
        <w:jc w:val="center"/>
        <w:rPr>
          <w:rFonts w:eastAsia="Arial Unicode MS"/>
          <w:b/>
          <w:color w:val="auto"/>
          <w:sz w:val="26"/>
          <w:szCs w:val="26"/>
          <w:lang w:eastAsia="zh-CN"/>
        </w:rPr>
      </w:pPr>
      <w:r>
        <w:rPr>
          <w:rFonts w:eastAsia="Arial Unicode MS"/>
          <w:b/>
          <w:color w:val="auto"/>
          <w:sz w:val="26"/>
          <w:szCs w:val="26"/>
          <w:lang w:eastAsia="zh-CN"/>
        </w:rPr>
        <w:t>Нормативы</w:t>
      </w:r>
    </w:p>
    <w:p>
      <w:pPr>
        <w:pStyle w:val="Default"/>
        <w:spacing w:lineRule="auto" w:line="216"/>
        <w:jc w:val="center"/>
        <w:rPr>
          <w:rFonts w:eastAsia="Arial Unicode MS"/>
          <w:b/>
          <w:bCs/>
          <w:color w:val="auto"/>
          <w:sz w:val="26"/>
          <w:szCs w:val="26"/>
        </w:rPr>
      </w:pPr>
      <w:r>
        <w:rPr>
          <w:rFonts w:eastAsia="Arial Unicode MS"/>
          <w:b/>
          <w:color w:val="auto"/>
          <w:sz w:val="26"/>
          <w:szCs w:val="26"/>
          <w:lang w:eastAsia="zh-CN"/>
        </w:rPr>
        <w:t>п</w:t>
      </w:r>
      <w:r>
        <w:rPr>
          <w:rFonts w:eastAsia="Arial Unicode MS"/>
          <w:b/>
          <w:bCs/>
          <w:color w:val="auto"/>
          <w:sz w:val="26"/>
          <w:szCs w:val="26"/>
          <w:lang w:eastAsia="zh-CN"/>
        </w:rPr>
        <w:t xml:space="preserve">отерь питьевой воды в централизованных системах водоснабжения </w:t>
      </w:r>
    </w:p>
    <w:p>
      <w:pPr>
        <w:pStyle w:val="Default"/>
        <w:spacing w:lineRule="auto" w:line="216"/>
        <w:jc w:val="center"/>
        <w:rPr>
          <w:rFonts w:eastAsia="Arial Unicode MS"/>
          <w:b/>
          <w:bCs/>
          <w:color w:val="auto"/>
          <w:sz w:val="26"/>
          <w:szCs w:val="26"/>
        </w:rPr>
      </w:pPr>
      <w:r>
        <w:rPr>
          <w:rFonts w:eastAsia="PT Astra Serif" w:cs="PT Astra Serif" w:ascii="PT Astra Serif" w:hAnsi="PT Astra Serif"/>
          <w:b/>
          <w:color w:val="000000"/>
          <w:sz w:val="26"/>
          <w:szCs w:val="26"/>
        </w:rPr>
        <w:t>при ее производстве и транспортировке по сетям  Яльчикского территориального отдела администрации Яльчикского муниципального округа Чувашской Республики (д. Новое Булаево, д. Тоскаево, д. Новое Тойдеряково, д. Апанасово-Темяши, с. Байдеряково) на 2025-2029 годы</w:t>
      </w:r>
    </w:p>
    <w:p>
      <w:pPr>
        <w:pStyle w:val="Default"/>
        <w:spacing w:lineRule="auto" w:line="216"/>
        <w:jc w:val="center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</w:r>
    </w:p>
    <w:tbl>
      <w:tblPr>
        <w:tblW w:w="9371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581"/>
        <w:gridCol w:w="2978"/>
        <w:gridCol w:w="1162"/>
        <w:gridCol w:w="1163"/>
        <w:gridCol w:w="1162"/>
        <w:gridCol w:w="1162"/>
        <w:gridCol w:w="1162"/>
      </w:tblGrid>
      <w:tr>
        <w:trPr/>
        <w:tc>
          <w:tcPr>
            <w:tcW w:w="5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№</w:t>
            </w:r>
          </w:p>
        </w:tc>
        <w:tc>
          <w:tcPr>
            <w:tcW w:w="29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Наименование регулируемой организации</w:t>
            </w:r>
          </w:p>
        </w:tc>
        <w:tc>
          <w:tcPr>
            <w:tcW w:w="5811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Нормативы потерь питьевой воды в централизованных системах водоснабжения при транспортировке, %</w:t>
            </w:r>
          </w:p>
        </w:tc>
      </w:tr>
      <w:tr>
        <w:trPr/>
        <w:tc>
          <w:tcPr>
            <w:tcW w:w="581" w:type="dxa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</w:r>
          </w:p>
        </w:tc>
        <w:tc>
          <w:tcPr>
            <w:tcW w:w="2978" w:type="dxa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2025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2026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2027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2028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2029</w:t>
            </w:r>
          </w:p>
        </w:tc>
      </w:tr>
      <w:tr>
        <w:trPr>
          <w:trHeight w:val="1345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1.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rFonts w:ascii="Times New Roman" w:hAnsi="Times New Roman"/>
                <w:color w:themeColor="text1"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</w:rPr>
              <w:t>13,95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</w:rPr>
              <w:t>13,95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</w:rPr>
              <w:t>13,24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</w:rPr>
              <w:t>11,47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</w:rPr>
              <w:t>11,47</w:t>
            </w:r>
          </w:p>
        </w:tc>
      </w:tr>
    </w:tbl>
    <w:p>
      <w:pPr>
        <w:pStyle w:val="Normal"/>
        <w:ind w:hanging="0" w:left="-284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ind w:hanging="0" w:left="-284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53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ET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TimesET" w:hAnsi="TimesET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Основной текст (3)_"/>
    <w:qFormat/>
    <w:rPr>
      <w:b/>
      <w:bCs/>
      <w:sz w:val="25"/>
      <w:szCs w:val="25"/>
      <w:shd w:fill="FFFFFF" w:val="clear"/>
    </w:rPr>
  </w:style>
  <w:style w:type="character" w:styleId="Style7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8" w:customStyle="1">
    <w:name w:val="Верхний колонтитул Знак"/>
    <w:basedOn w:val="DefaultParagraphFont"/>
    <w:uiPriority w:val="99"/>
    <w:qFormat/>
    <w:rPr>
      <w:rFonts w:ascii="TimesET" w:hAnsi="TimesET" w:eastAsia="Times New Roman" w:cs="Times New Roman"/>
      <w:sz w:val="24"/>
      <w:szCs w:val="20"/>
      <w:lang w:eastAsia="ru-RU"/>
    </w:rPr>
  </w:style>
  <w:style w:type="character" w:styleId="Style9" w:customStyle="1">
    <w:name w:val="Нижний колонтитул Знак"/>
    <w:basedOn w:val="DefaultParagraphFont"/>
    <w:uiPriority w:val="99"/>
    <w:qFormat/>
    <w:rPr>
      <w:rFonts w:ascii="TimesET" w:hAnsi="TimesET" w:eastAsia="Times New Roman" w:cs="Times New Roman"/>
      <w:sz w:val="24"/>
      <w:szCs w:val="20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hanging="0"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Normal" w:customStyle="1">
    <w:name w:val="ConsNormal"/>
    <w:qFormat/>
    <w:pPr>
      <w:widowControl w:val="false"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4"/>
      <w:szCs w:val="24"/>
      <w:lang w:val="ru-RU" w:eastAsia="ru-RU" w:bidi="ar-SA"/>
    </w:rPr>
  </w:style>
  <w:style w:type="paragraph" w:styleId="31" w:customStyle="1">
    <w:name w:val="Основной текст (3)"/>
    <w:basedOn w:val="Normal"/>
    <w:qFormat/>
    <w:pPr>
      <w:shd w:val="clear" w:color="auto" w:fill="FFFFFF"/>
      <w:spacing w:lineRule="exact" w:line="298" w:before="840" w:after="540"/>
      <w:ind w:firstLine="720"/>
      <w:jc w:val="both"/>
    </w:pPr>
    <w:rPr>
      <w:rFonts w:ascii="Calibri" w:hAnsi="Calibri" w:eastAsia="Calibri" w:cs="Arial" w:asciiTheme="minorHAnsi" w:cstheme="minorBidi" w:eastAsiaTheme="minorHAnsi" w:hAnsiTheme="minorHAnsi"/>
      <w:b/>
      <w:bCs/>
      <w:sz w:val="25"/>
      <w:szCs w:val="25"/>
      <w:lang w:eastAsia="en-US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9DD17-121A-41D6-B531-EC2EABBD4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LibreOffice/24.2.3.2$Linux_X86_64 LibreOffice_project/420$Build-2</Application>
  <AppVersion>15.0000</AppVersion>
  <Pages>2</Pages>
  <Words>387</Words>
  <Characters>2794</Characters>
  <CharactersWithSpaces>3225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2024-07-01T11:41:00Z</dcterms:created>
  <dc:creator>Минстрой 10.</dc:creator>
  <dc:description/>
  <dc:language>ru-RU</dc:language>
  <cp:lastModifiedBy/>
  <dcterms:modified xsi:type="dcterms:W3CDTF">2025-08-19T16:42:09Z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