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0ED" w:rsidRDefault="00BC70ED" w:rsidP="00BC70ED">
      <w:pPr>
        <w:jc w:val="right"/>
      </w:pPr>
      <w:r>
        <w:t>Извлечение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BC70ED" w:rsidTr="00BC70ED">
        <w:tc>
          <w:tcPr>
            <w:tcW w:w="4677" w:type="dxa"/>
          </w:tcPr>
          <w:p w:rsidR="00BC70ED" w:rsidRDefault="00BC70ED" w:rsidP="00F919E9">
            <w:pPr>
              <w:pStyle w:val="ConsPlusNormal"/>
              <w:contextualSpacing/>
              <w:outlineLvl w:val="0"/>
            </w:pPr>
            <w:r>
              <w:t>25 ноября 2003 года</w:t>
            </w:r>
          </w:p>
        </w:tc>
        <w:tc>
          <w:tcPr>
            <w:tcW w:w="4678" w:type="dxa"/>
          </w:tcPr>
          <w:p w:rsidR="00BC70ED" w:rsidRDefault="00BC70ED" w:rsidP="00F919E9">
            <w:pPr>
              <w:pStyle w:val="ConsPlusNormal"/>
              <w:contextualSpacing/>
              <w:jc w:val="right"/>
              <w:outlineLvl w:val="0"/>
            </w:pPr>
            <w:r>
              <w:t>N 41</w:t>
            </w:r>
          </w:p>
        </w:tc>
      </w:tr>
    </w:tbl>
    <w:p w:rsidR="00BC70ED" w:rsidRDefault="00BC70ED" w:rsidP="00BC70ED">
      <w:pPr>
        <w:pStyle w:val="ConsPlusNormal"/>
        <w:pBdr>
          <w:top w:val="single" w:sz="6" w:space="0" w:color="auto"/>
        </w:pBdr>
        <w:spacing w:before="100" w:after="100"/>
        <w:contextualSpacing/>
        <w:jc w:val="both"/>
        <w:rPr>
          <w:sz w:val="2"/>
          <w:szCs w:val="2"/>
        </w:rPr>
      </w:pPr>
    </w:p>
    <w:p w:rsidR="00BC70ED" w:rsidRDefault="00BC70ED" w:rsidP="00BC70ED">
      <w:pPr>
        <w:pStyle w:val="ConsPlusNormal"/>
        <w:contextualSpacing/>
        <w:jc w:val="both"/>
      </w:pPr>
    </w:p>
    <w:p w:rsidR="00BC70ED" w:rsidRDefault="00BC70ED" w:rsidP="00BC70ED">
      <w:pPr>
        <w:pStyle w:val="ConsPlusNormal"/>
        <w:contextualSpacing/>
        <w:jc w:val="center"/>
        <w:rPr>
          <w:b/>
          <w:bCs/>
        </w:rPr>
      </w:pPr>
      <w:r>
        <w:rPr>
          <w:b/>
          <w:bCs/>
        </w:rPr>
        <w:t>ЗАКОН</w:t>
      </w:r>
    </w:p>
    <w:p w:rsidR="00BC70ED" w:rsidRDefault="00BC70ED" w:rsidP="00BC70ED">
      <w:pPr>
        <w:pStyle w:val="ConsPlusNormal"/>
        <w:contextualSpacing/>
        <w:jc w:val="center"/>
        <w:rPr>
          <w:b/>
          <w:bCs/>
        </w:rPr>
      </w:pPr>
    </w:p>
    <w:p w:rsidR="00BC70ED" w:rsidRDefault="00BC70ED" w:rsidP="00BC70ED">
      <w:pPr>
        <w:pStyle w:val="ConsPlusNormal"/>
        <w:contextualSpacing/>
        <w:jc w:val="center"/>
        <w:rPr>
          <w:b/>
          <w:bCs/>
        </w:rPr>
      </w:pPr>
      <w:r>
        <w:rPr>
          <w:b/>
          <w:bCs/>
        </w:rPr>
        <w:t>ЧУВАШСКОЙ РЕСПУБЛИКИ</w:t>
      </w:r>
    </w:p>
    <w:p w:rsidR="00BC70ED" w:rsidRDefault="00BC70ED" w:rsidP="00BC70ED">
      <w:pPr>
        <w:pStyle w:val="ConsPlusNormal"/>
        <w:contextualSpacing/>
        <w:jc w:val="center"/>
        <w:rPr>
          <w:b/>
          <w:bCs/>
        </w:rPr>
      </w:pPr>
    </w:p>
    <w:p w:rsidR="00BC70ED" w:rsidRDefault="00BC70ED" w:rsidP="00BC70ED">
      <w:pPr>
        <w:pStyle w:val="ConsPlusNormal"/>
        <w:contextualSpacing/>
        <w:jc w:val="center"/>
        <w:rPr>
          <w:b/>
          <w:bCs/>
        </w:rPr>
      </w:pPr>
      <w:r>
        <w:rPr>
          <w:b/>
          <w:bCs/>
        </w:rPr>
        <w:t>О ВЫБОРАХ В ОРГАНЫ МЕСТНОГО САМОУПРАВЛЕНИЯ</w:t>
      </w:r>
    </w:p>
    <w:p w:rsidR="00BC70ED" w:rsidRDefault="00BC70ED" w:rsidP="00BC70ED">
      <w:pPr>
        <w:pStyle w:val="ConsPlusNormal"/>
        <w:contextualSpacing/>
        <w:jc w:val="center"/>
        <w:rPr>
          <w:b/>
          <w:bCs/>
        </w:rPr>
      </w:pPr>
      <w:r>
        <w:rPr>
          <w:b/>
          <w:bCs/>
        </w:rPr>
        <w:t>В ЧУВАШСКОЙ РЕСПУБЛИКЕ</w:t>
      </w:r>
    </w:p>
    <w:p w:rsidR="00BC70ED" w:rsidRDefault="00BC70ED" w:rsidP="00BC70ED">
      <w:pPr>
        <w:pStyle w:val="ConsPlusNormal"/>
        <w:contextualSpacing/>
        <w:jc w:val="both"/>
      </w:pPr>
    </w:p>
    <w:p w:rsidR="00BC70ED" w:rsidRDefault="00BC70ED" w:rsidP="00BC70ED">
      <w:pPr>
        <w:pStyle w:val="ConsPlusNormal"/>
        <w:contextualSpacing/>
        <w:jc w:val="right"/>
      </w:pPr>
      <w:proofErr w:type="gramStart"/>
      <w:r>
        <w:t>Принят</w:t>
      </w:r>
      <w:proofErr w:type="gramEnd"/>
    </w:p>
    <w:p w:rsidR="00BC70ED" w:rsidRDefault="00BC70ED" w:rsidP="00BC70ED">
      <w:pPr>
        <w:pStyle w:val="ConsPlusNormal"/>
        <w:contextualSpacing/>
        <w:jc w:val="right"/>
      </w:pPr>
      <w:r>
        <w:t>Государственным Советом</w:t>
      </w:r>
    </w:p>
    <w:p w:rsidR="00BC70ED" w:rsidRDefault="00BC70ED" w:rsidP="00BC70ED">
      <w:pPr>
        <w:pStyle w:val="ConsPlusNormal"/>
        <w:contextualSpacing/>
        <w:jc w:val="right"/>
      </w:pPr>
      <w:r>
        <w:t>Чувашской Республики</w:t>
      </w:r>
    </w:p>
    <w:p w:rsidR="00BC70ED" w:rsidRDefault="00BC70ED" w:rsidP="00BC70ED">
      <w:pPr>
        <w:pStyle w:val="ConsPlusNormal"/>
        <w:contextualSpacing/>
        <w:jc w:val="right"/>
      </w:pPr>
      <w:r>
        <w:t>11 ноября 2003 года</w:t>
      </w:r>
    </w:p>
    <w:p w:rsidR="00BC70ED" w:rsidRDefault="00BC70ED" w:rsidP="00BC70ED">
      <w:pPr>
        <w:pStyle w:val="ConsPlusNormal"/>
        <w:contextualSpacing/>
      </w:pPr>
      <w:r>
        <w:t>…</w:t>
      </w:r>
    </w:p>
    <w:p w:rsidR="00BC70ED" w:rsidRDefault="00BC70ED" w:rsidP="00BC70ED">
      <w:pPr>
        <w:pStyle w:val="ConsPlusNormal"/>
        <w:contextualSpacing/>
        <w:jc w:val="center"/>
        <w:outlineLvl w:val="1"/>
        <w:rPr>
          <w:b/>
          <w:bCs/>
        </w:rPr>
      </w:pPr>
      <w:r>
        <w:rPr>
          <w:b/>
          <w:bCs/>
        </w:rPr>
        <w:t>Глава IV. ГАРАНТИИ ПРАВ ГРАЖДАН ПРИ ВЫДВИЖЕНИИ</w:t>
      </w:r>
    </w:p>
    <w:p w:rsidR="00BC70ED" w:rsidRDefault="00BC70ED" w:rsidP="00BC70ED">
      <w:pPr>
        <w:pStyle w:val="ConsPlusNormal"/>
        <w:contextualSpacing/>
        <w:jc w:val="center"/>
        <w:rPr>
          <w:b/>
          <w:bCs/>
        </w:rPr>
      </w:pPr>
      <w:r>
        <w:rPr>
          <w:b/>
          <w:bCs/>
        </w:rPr>
        <w:t>И РЕГИСТРАЦИИ КАНДИДАТОВ</w:t>
      </w:r>
    </w:p>
    <w:p w:rsidR="00BC70ED" w:rsidRDefault="00BC70ED" w:rsidP="00BC70ED">
      <w:pPr>
        <w:pStyle w:val="ConsPlusNormal"/>
        <w:contextualSpacing/>
      </w:pPr>
      <w:r>
        <w:t>…</w:t>
      </w:r>
    </w:p>
    <w:p w:rsidR="00BC70ED" w:rsidRDefault="00BC70ED" w:rsidP="00BC70ED">
      <w:pPr>
        <w:pStyle w:val="ConsPlusNormal"/>
        <w:spacing w:before="220"/>
        <w:ind w:firstLine="540"/>
        <w:contextualSpacing/>
        <w:jc w:val="both"/>
        <w:outlineLvl w:val="2"/>
        <w:rPr>
          <w:b/>
          <w:bCs/>
        </w:rPr>
      </w:pPr>
      <w:r>
        <w:rPr>
          <w:b/>
          <w:bCs/>
        </w:rPr>
        <w:t>Статья 22. Выдвижение избирательными объединениями кандидатов по одномандатным избирательным округам, кандидатов на должность главы муниципального образования</w:t>
      </w:r>
    </w:p>
    <w:p w:rsidR="00BC70ED" w:rsidRDefault="00BC70ED" w:rsidP="00BC70ED">
      <w:pPr>
        <w:pStyle w:val="ConsPlusNormal"/>
        <w:spacing w:before="220"/>
        <w:contextualSpacing/>
        <w:jc w:val="both"/>
      </w:pPr>
      <w:r>
        <w:t>…</w:t>
      </w:r>
    </w:p>
    <w:p w:rsidR="00BC70ED" w:rsidRDefault="00BC70ED" w:rsidP="00BC70ED">
      <w:pPr>
        <w:pStyle w:val="ConsPlusNormal"/>
        <w:spacing w:before="220"/>
        <w:ind w:firstLine="540"/>
        <w:contextualSpacing/>
        <w:jc w:val="both"/>
      </w:pPr>
      <w:r>
        <w:t xml:space="preserve">3. Организующая выборы избирательная комиссия в течение трех дней после дня приема документов, указанных в </w:t>
      </w:r>
      <w:hyperlink r:id="rId5" w:history="1">
        <w:r>
          <w:rPr>
            <w:color w:val="0000FF"/>
          </w:rPr>
          <w:t>пункте 2</w:t>
        </w:r>
      </w:hyperlink>
      <w:r>
        <w:t xml:space="preserve"> настоящей статьи, обязана принять решение о </w:t>
      </w:r>
      <w:proofErr w:type="gramStart"/>
      <w:r>
        <w:t>заверении списка</w:t>
      </w:r>
      <w:proofErr w:type="gramEnd"/>
      <w:r>
        <w:t xml:space="preserve"> кандидатов по одномандатным избирательным округам либо об отказе в его заверении, который должен быть мотивирован. </w:t>
      </w:r>
      <w:proofErr w:type="gramStart"/>
      <w:r>
        <w:t xml:space="preserve">Основаниями для отказа в заверении списка являются отсутствие документов, предусмотренных </w:t>
      </w:r>
      <w:hyperlink r:id="rId6" w:history="1">
        <w:r>
          <w:rPr>
            <w:color w:val="0000FF"/>
          </w:rPr>
          <w:t>подпунктами "а"</w:t>
        </w:r>
      </w:hyperlink>
      <w:r>
        <w:t xml:space="preserve">, </w:t>
      </w:r>
      <w:hyperlink r:id="rId7" w:history="1">
        <w:r>
          <w:rPr>
            <w:color w:val="0000FF"/>
          </w:rPr>
          <w:t>"в"</w:t>
        </w:r>
      </w:hyperlink>
      <w:r>
        <w:t xml:space="preserve"> - </w:t>
      </w:r>
      <w:hyperlink r:id="rId8" w:history="1">
        <w:r>
          <w:rPr>
            <w:color w:val="0000FF"/>
          </w:rPr>
          <w:t>"ж" пункта 2</w:t>
        </w:r>
      </w:hyperlink>
      <w:r>
        <w:t xml:space="preserve"> настоящей статьи, несоблюдение требований к выдвижению кандидатов, предусмотренных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"О политических партиях",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. Отсутствие заявления кандидата о согласии баллотироваться, предусмотренного </w:t>
      </w:r>
      <w:hyperlink r:id="rId11" w:history="1">
        <w:r>
          <w:rPr>
            <w:color w:val="0000FF"/>
          </w:rPr>
          <w:t>пунктом 3 статьи 20</w:t>
        </w:r>
      </w:hyperlink>
      <w:r>
        <w:t xml:space="preserve"> настоящего Закона, является основанием для исключения организующей выборы избирательной комиссией соответствующего кандидата из списка кандидатов по одномандатным избирательным</w:t>
      </w:r>
      <w:proofErr w:type="gramEnd"/>
      <w:r>
        <w:t xml:space="preserve"> округам до его заверения. </w:t>
      </w:r>
      <w:proofErr w:type="gramStart"/>
      <w:r>
        <w:t>Ошибки (опечатки), допущенные в оформлении представленных в организующую выборы избирательную комиссию документов в отношении отдельного кандидата, не позволяющие достоверно определить гражданина, выдвинутого в соответствующем одномандатном избирательном округе, являются основанием для исключения организующей выборы избирательной комиссией соответствующего кандидата из списка кандидатов по одномандатным избирательным округам до его заверения.</w:t>
      </w:r>
      <w:proofErr w:type="gramEnd"/>
      <w:r>
        <w:t xml:space="preserve"> Выдвижение в одномандатном избирательном округе большего числа кандидатов, чем число депутатских мандатов, подлежащих замещению в этом избирательном округе, является основанием для исключения организующей выборы избирательной комиссией всех кандидатов, выдвинутых в данном избирательном округе, из списка кандидатов по одномандатным избирательным округам до его заверения.</w:t>
      </w:r>
    </w:p>
    <w:p w:rsidR="00BC70ED" w:rsidRDefault="00BC70ED" w:rsidP="00BC70ED">
      <w:pPr>
        <w:pStyle w:val="ConsPlusNormal"/>
        <w:spacing w:before="220"/>
        <w:contextualSpacing/>
        <w:jc w:val="both"/>
      </w:pPr>
      <w:r>
        <w:t>…</w:t>
      </w:r>
    </w:p>
    <w:p w:rsidR="00BC70ED" w:rsidRDefault="00BC70ED" w:rsidP="00BC70ED">
      <w:pPr>
        <w:pStyle w:val="ConsPlusNormal"/>
        <w:spacing w:before="220"/>
        <w:ind w:firstLine="540"/>
        <w:contextualSpacing/>
        <w:jc w:val="both"/>
        <w:outlineLvl w:val="2"/>
        <w:rPr>
          <w:b/>
          <w:bCs/>
        </w:rPr>
      </w:pPr>
      <w:r>
        <w:rPr>
          <w:b/>
          <w:bCs/>
        </w:rPr>
        <w:t>Статья 22.1. Выдвижение избирательным объединением списка кандидатов в депутаты представительного органа муниципального образования по единому избирательному округу</w:t>
      </w:r>
    </w:p>
    <w:p w:rsidR="00BC70ED" w:rsidRDefault="00BC70ED" w:rsidP="00BC70ED">
      <w:pPr>
        <w:pStyle w:val="ConsPlusNormal"/>
        <w:spacing w:before="220"/>
        <w:contextualSpacing/>
        <w:jc w:val="both"/>
        <w:outlineLvl w:val="2"/>
        <w:rPr>
          <w:b/>
          <w:bCs/>
        </w:rPr>
      </w:pPr>
      <w:r>
        <w:rPr>
          <w:b/>
          <w:bCs/>
        </w:rPr>
        <w:t>…</w:t>
      </w:r>
    </w:p>
    <w:p w:rsidR="00BC70ED" w:rsidRDefault="00BC70ED" w:rsidP="00BC70ED">
      <w:pPr>
        <w:pStyle w:val="ConsPlusNormal"/>
        <w:spacing w:before="220"/>
        <w:ind w:firstLine="540"/>
        <w:contextualSpacing/>
        <w:jc w:val="both"/>
      </w:pPr>
      <w:r>
        <w:t xml:space="preserve">10. Организующая выборы избирательная комиссия в течение трех дней после дня приема документов заверяет список кандидатов, выдвинутый избирательным объединением. </w:t>
      </w:r>
      <w:proofErr w:type="gramStart"/>
      <w:r>
        <w:t xml:space="preserve">Основаниями для отказа в заверении списка кандидатов являются отсутствие документов, указанных в </w:t>
      </w:r>
      <w:hyperlink r:id="rId12" w:history="1">
        <w:r>
          <w:rPr>
            <w:color w:val="0000FF"/>
          </w:rPr>
          <w:t>пункте 4</w:t>
        </w:r>
      </w:hyperlink>
      <w:r>
        <w:t xml:space="preserve"> настоящей статьи, несоблюдение требований к выдвижению списка кандидатов, предусмотренных 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"О политических партиях",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. Отсутствие документов кандидата, предусмотренных </w:t>
      </w:r>
      <w:hyperlink r:id="rId15" w:history="1">
        <w:r>
          <w:rPr>
            <w:color w:val="0000FF"/>
          </w:rPr>
          <w:t>пунктами 3</w:t>
        </w:r>
      </w:hyperlink>
      <w:r>
        <w:t xml:space="preserve"> и </w:t>
      </w:r>
      <w:hyperlink r:id="rId16" w:history="1">
        <w:r>
          <w:rPr>
            <w:color w:val="0000FF"/>
          </w:rPr>
          <w:t>4 статьи 20</w:t>
        </w:r>
      </w:hyperlink>
      <w:r>
        <w:t xml:space="preserve"> настоящего Закона, является основанием для исключения организующей выборы избирательной </w:t>
      </w:r>
      <w:r>
        <w:lastRenderedPageBreak/>
        <w:t>комиссией этого кандидата из списка кандидатов до его заверения.</w:t>
      </w:r>
      <w:proofErr w:type="gramEnd"/>
    </w:p>
    <w:p w:rsidR="00BC70ED" w:rsidRDefault="00BC70ED" w:rsidP="00BC70ED">
      <w:pPr>
        <w:pStyle w:val="ConsPlusNormal"/>
        <w:contextualSpacing/>
      </w:pPr>
      <w:r>
        <w:t>…</w:t>
      </w:r>
    </w:p>
    <w:p w:rsidR="00BC70ED" w:rsidRDefault="00BC70ED" w:rsidP="00BC70ED">
      <w:pPr>
        <w:pStyle w:val="ConsPlusNormal"/>
        <w:spacing w:before="220"/>
        <w:ind w:firstLine="540"/>
        <w:contextualSpacing/>
        <w:jc w:val="both"/>
        <w:outlineLvl w:val="2"/>
        <w:rPr>
          <w:b/>
          <w:bCs/>
        </w:rPr>
      </w:pPr>
      <w:r>
        <w:rPr>
          <w:b/>
          <w:bCs/>
        </w:rPr>
        <w:t>Статья 24. Регистрация кандидатов, списка кандидатов</w:t>
      </w:r>
    </w:p>
    <w:p w:rsidR="00BC70ED" w:rsidRDefault="00BC70ED" w:rsidP="00BC70ED">
      <w:pPr>
        <w:pStyle w:val="ConsPlusNormal"/>
        <w:spacing w:before="220"/>
        <w:ind w:firstLine="540"/>
        <w:contextualSpacing/>
        <w:jc w:val="both"/>
      </w:pPr>
      <w:r>
        <w:t xml:space="preserve">1. </w:t>
      </w:r>
      <w:proofErr w:type="gramStart"/>
      <w:r>
        <w:t xml:space="preserve">Регистрация кандидата, списка кандидатов осуществляется соответствующей избирательной комиссией при наличии документов, указанных в </w:t>
      </w:r>
      <w:hyperlink r:id="rId17" w:history="1">
        <w:r>
          <w:rPr>
            <w:color w:val="0000FF"/>
          </w:rPr>
          <w:t>пунктах 3</w:t>
        </w:r>
      </w:hyperlink>
      <w:r>
        <w:t xml:space="preserve">, </w:t>
      </w:r>
      <w:hyperlink r:id="rId18" w:history="1">
        <w:r>
          <w:rPr>
            <w:color w:val="0000FF"/>
          </w:rPr>
          <w:t>3.1</w:t>
        </w:r>
      </w:hyperlink>
      <w:r>
        <w:t xml:space="preserve"> и </w:t>
      </w:r>
      <w:hyperlink r:id="rId19" w:history="1">
        <w:r>
          <w:rPr>
            <w:color w:val="0000FF"/>
          </w:rPr>
          <w:t>4</w:t>
        </w:r>
      </w:hyperlink>
      <w:r>
        <w:t xml:space="preserve"> (при проведении выборов глав муниципальных округов и глав городских округов также документов, указанных в </w:t>
      </w:r>
      <w:hyperlink r:id="rId20" w:history="1">
        <w:r>
          <w:rPr>
            <w:color w:val="0000FF"/>
          </w:rPr>
          <w:t>пункте 4.1</w:t>
        </w:r>
      </w:hyperlink>
      <w:r>
        <w:t>) статьи 20 настоящего Закона, иных предусмотренных настоящим Законом документов, представляемых в соответствующую избирательную комиссию для уведомления о выдвижении и регистрации кандидата, списка кандидатов, а также при</w:t>
      </w:r>
      <w:proofErr w:type="gramEnd"/>
      <w:r>
        <w:t xml:space="preserve"> </w:t>
      </w:r>
      <w:proofErr w:type="gramStart"/>
      <w:r>
        <w:t xml:space="preserve">наличии необходимого количества подписей избирателей, собранных в поддержку выдвижения кандидата, списка кандидатов либо при наличии решения политической партии (ее регионального отделения или иного структурного подразделения), на которую распространяется действие </w:t>
      </w:r>
      <w:hyperlink r:id="rId21" w:history="1">
        <w:r>
          <w:rPr>
            <w:color w:val="0000FF"/>
          </w:rPr>
          <w:t>пунктов 2</w:t>
        </w:r>
      </w:hyperlink>
      <w:r>
        <w:t xml:space="preserve"> - </w:t>
      </w:r>
      <w:hyperlink r:id="rId22" w:history="1">
        <w:r>
          <w:rPr>
            <w:color w:val="0000FF"/>
          </w:rPr>
          <w:t>4 статьи 22.2</w:t>
        </w:r>
      </w:hyperlink>
      <w:r>
        <w:t xml:space="preserve"> или </w:t>
      </w:r>
      <w:hyperlink r:id="rId23" w:history="1">
        <w:r>
          <w:rPr>
            <w:color w:val="0000FF"/>
          </w:rPr>
          <w:t>пункта 2</w:t>
        </w:r>
      </w:hyperlink>
      <w:r>
        <w:t xml:space="preserve"> настоящей статьи.</w:t>
      </w:r>
      <w:proofErr w:type="gramEnd"/>
    </w:p>
    <w:p w:rsidR="00BC70ED" w:rsidRDefault="00BC70ED" w:rsidP="00BC70ED">
      <w:pPr>
        <w:pStyle w:val="ConsPlusNormal"/>
        <w:spacing w:before="220"/>
        <w:ind w:firstLine="540"/>
        <w:contextualSpacing/>
        <w:jc w:val="both"/>
      </w:pPr>
      <w:r>
        <w:t xml:space="preserve">Документы для регистрации кандидата, списка кандидатов представляются в соответствующую избирательную комиссию не </w:t>
      </w:r>
      <w:proofErr w:type="gramStart"/>
      <w:r>
        <w:t>позднее</w:t>
      </w:r>
      <w:proofErr w:type="gramEnd"/>
      <w:r>
        <w:t xml:space="preserve"> чем за 40 дней до дня голосования до 18 часов по местному времени.</w:t>
      </w:r>
    </w:p>
    <w:p w:rsidR="00BC70ED" w:rsidRDefault="00BC70ED" w:rsidP="00BC70ED">
      <w:pPr>
        <w:pStyle w:val="ConsPlusNormal"/>
        <w:spacing w:before="220"/>
        <w:ind w:firstLine="540"/>
        <w:contextualSpacing/>
        <w:jc w:val="both"/>
      </w:pPr>
      <w:r>
        <w:t>Соответствующая избирательная комиссия в течение десяти дней со дня приема документов, необходимых для регистрации кандидата, списка кандидатов по единому избирательному округу, принимает решение о регистрации кандидата, списка кандидатов по единому избирательному округу либо мотивированное решение об отказе в регистрации кандидата, списка кандидатов. При регистрации кандидата, выдвинутого избирательным объединением по одномандатному избирательному округу, в решении окружной избирательной комиссии о регистрации указывается, что кандидат выдвинут избирательным объединением, а также наименование этого избирательного объединения. При одновременной регистрации кандидата, выдвинутого избирательным объединением в одномандатном избирательном округе и в составе списка кандидатов по единому избирательному округу, в решении окружной избирательной комиссии указывается, что кандидат зарегистрирован также в составе списка кандидатов по единому избирательному округу. В решении соответствующей избирательной комиссии о регистрации кандидата, списка кандидатов по единому избирательному округу указываются дата и время регистрации.</w:t>
      </w:r>
    </w:p>
    <w:p w:rsidR="00BC70ED" w:rsidRDefault="00BC70ED" w:rsidP="00BC70ED">
      <w:pPr>
        <w:pStyle w:val="ConsPlusNormal"/>
        <w:spacing w:before="220"/>
        <w:ind w:firstLine="540"/>
        <w:contextualSpacing/>
        <w:jc w:val="both"/>
      </w:pPr>
      <w:r>
        <w:t>Не допускается на одних и тех же выборах в органы местного самоуправления регистрация одного и того же лица более чем в одном списке кандидатов по единому избирательному округу, а также более чем по одному одномандатному избирательному округу. Кандидат, зарегистрированный по одномандатному избирательному округу как кандидат, выдвинутый в порядке самовыдвижения, не может быть одновременно зарегистрирован как кандидат, выдвинутый избирательным объединением. Кандидат, зарегистрированный по одномандатному избирательному округу как кандидат, выдвинутый избирательным объединением, не может быть одновременно зарегистрирован в составе списка кандидатов по единому избирательному округу другого избирательного объединения. Одно и то же лицо может быть одновременно зарегистрировано по одному одномандатному избирательному округу и в составе списка кандидатов по единому избирательному округу, если этот кандидат и список кандидатов были выдвинуты одним и тем же избирательным объединением. В случае нарушения порядка регистрации кандидата, предусмотренного настоящим абзацем, действительной считается регистрация кандидата, решение о которой принято раньше. Решение о регистрации кандидата, принятое позже, аннулируется соответствующей избирательной комиссией, если в течение одних суток после принятия более позднего решения о регистрации кандидат не подаст заявление об отказе от регистрации, состоявшейся раньше.</w:t>
      </w:r>
    </w:p>
    <w:p w:rsidR="00BC70ED" w:rsidRDefault="00BC70ED" w:rsidP="00BC70ED">
      <w:pPr>
        <w:pStyle w:val="ConsPlusNormal"/>
        <w:spacing w:before="220"/>
        <w:ind w:firstLine="540"/>
        <w:contextualSpacing/>
        <w:jc w:val="both"/>
      </w:pPr>
      <w:proofErr w:type="gramStart"/>
      <w:r>
        <w:t>В случае отказа в регистрации кандидата, списка кандидатов, исключения кандидата из списка кандидатов соответствующая избирательная комиссия обязана в течение одних суток с момента принятия ею решения об отказе в регистрации, исключении из списка выдать соответственно кандидату, уполномоченному представителю избирательного объединения, выдвинувшего кандидата, список кандидатов, копию соответствующего решения с изложением оснований отказа, исключения кандидата из списка кандидатов.</w:t>
      </w:r>
      <w:proofErr w:type="gramEnd"/>
    </w:p>
    <w:p w:rsidR="00065B83" w:rsidRDefault="00BC70ED" w:rsidP="0014329C">
      <w:pPr>
        <w:pStyle w:val="ConsPlusNormal"/>
        <w:spacing w:before="220"/>
        <w:contextualSpacing/>
        <w:jc w:val="both"/>
      </w:pPr>
      <w:r>
        <w:t>…</w:t>
      </w:r>
      <w:bookmarkStart w:id="0" w:name="_GoBack"/>
      <w:bookmarkEnd w:id="0"/>
    </w:p>
    <w:sectPr w:rsidR="00065B83" w:rsidSect="00901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0ED"/>
    <w:rsid w:val="0014329C"/>
    <w:rsid w:val="001F70FE"/>
    <w:rsid w:val="007E45EB"/>
    <w:rsid w:val="00BC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0ED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70E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43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329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0ED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70E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43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329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99186&amp;dst=100883" TargetMode="External"/><Relationship Id="rId13" Type="http://schemas.openxmlformats.org/officeDocument/2006/relationships/hyperlink" Target="https://login.consultant.ru/link/?req=doc&amp;base=LAW&amp;n=527096" TargetMode="External"/><Relationship Id="rId18" Type="http://schemas.openxmlformats.org/officeDocument/2006/relationships/hyperlink" Target="https://login.consultant.ru/link/?req=doc&amp;base=RLAW098&amp;n=199186&amp;dst=10126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098&amp;n=199186&amp;dst=101284" TargetMode="External"/><Relationship Id="rId7" Type="http://schemas.openxmlformats.org/officeDocument/2006/relationships/hyperlink" Target="https://login.consultant.ru/link/?req=doc&amp;base=RLAW098&amp;n=199186&amp;dst=100879" TargetMode="External"/><Relationship Id="rId12" Type="http://schemas.openxmlformats.org/officeDocument/2006/relationships/hyperlink" Target="https://login.consultant.ru/link/?req=doc&amp;base=RLAW098&amp;n=199186&amp;dst=101001" TargetMode="External"/><Relationship Id="rId17" Type="http://schemas.openxmlformats.org/officeDocument/2006/relationships/hyperlink" Target="https://login.consultant.ru/link/?req=doc&amp;base=RLAW098&amp;n=199186&amp;dst=100971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99186&amp;dst=100972" TargetMode="External"/><Relationship Id="rId20" Type="http://schemas.openxmlformats.org/officeDocument/2006/relationships/hyperlink" Target="https://login.consultant.ru/link/?req=doc&amp;base=RLAW098&amp;n=199186&amp;dst=10124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99186&amp;dst=100877" TargetMode="External"/><Relationship Id="rId11" Type="http://schemas.openxmlformats.org/officeDocument/2006/relationships/hyperlink" Target="https://login.consultant.ru/link/?req=doc&amp;base=RLAW098&amp;n=199186&amp;dst=101267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098&amp;n=199186&amp;dst=100876" TargetMode="External"/><Relationship Id="rId15" Type="http://schemas.openxmlformats.org/officeDocument/2006/relationships/hyperlink" Target="https://login.consultant.ru/link/?req=doc&amp;base=RLAW098&amp;n=199186&amp;dst=101267" TargetMode="External"/><Relationship Id="rId23" Type="http://schemas.openxmlformats.org/officeDocument/2006/relationships/hyperlink" Target="https://login.consultant.ru/link/?req=doc&amp;base=RLAW098&amp;n=199186&amp;dst=101296" TargetMode="External"/><Relationship Id="rId10" Type="http://schemas.openxmlformats.org/officeDocument/2006/relationships/hyperlink" Target="https://login.consultant.ru/link/?req=doc&amp;base=LAW&amp;n=533496" TargetMode="External"/><Relationship Id="rId19" Type="http://schemas.openxmlformats.org/officeDocument/2006/relationships/hyperlink" Target="https://login.consultant.ru/link/?req=doc&amp;base=RLAW098&amp;n=199186&amp;dst=10097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7096&amp;dst=100311" TargetMode="External"/><Relationship Id="rId14" Type="http://schemas.openxmlformats.org/officeDocument/2006/relationships/hyperlink" Target="https://login.consultant.ru/link/?req=doc&amp;base=LAW&amp;n=533496&amp;dst=101679" TargetMode="External"/><Relationship Id="rId22" Type="http://schemas.openxmlformats.org/officeDocument/2006/relationships/hyperlink" Target="https://login.consultant.ru/link/?req=doc&amp;base=RLAW098&amp;n=199186&amp;dst=1012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1298</Words>
  <Characters>7400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Шамбулина Светлана Витальевна</dc:creator>
  <cp:lastModifiedBy>Шамбулина Светлана Витальевна</cp:lastModifiedBy>
  <cp:revision>2</cp:revision>
  <cp:lastPrinted>2026-06-15T10:29:00Z</cp:lastPrinted>
  <dcterms:created xsi:type="dcterms:W3CDTF">2026-06-15T10:28:00Z</dcterms:created>
  <dcterms:modified xsi:type="dcterms:W3CDTF">2026-06-15T10:30:00Z</dcterms:modified>
</cp:coreProperties>
</file>