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1"/>
        <w:jc w:val="center"/>
        <w:widowControl w:val="off"/>
        <w:rPr>
          <w:rFonts w:ascii="Arial" w:hAnsi="Arial" w:eastAsia="Calibri" w:cs="Arial"/>
          <w:b/>
        </w:rPr>
      </w:pPr>
      <w:r>
        <w:rPr>
          <w:rFonts w:ascii="Arial" w:hAnsi="Arial" w:eastAsia="Calibri" w:cs="Arial"/>
          <w:b/>
        </w:rPr>
        <w:t xml:space="preserve">Информация</w:t>
      </w:r>
      <w:r>
        <w:rPr>
          <w:rFonts w:ascii="Arial" w:hAnsi="Arial" w:eastAsia="Calibri" w:cs="Arial"/>
          <w:b/>
        </w:rPr>
      </w:r>
      <w:r>
        <w:rPr>
          <w:rFonts w:ascii="Arial" w:hAnsi="Arial" w:eastAsia="Calibri" w:cs="Arial"/>
          <w:b/>
        </w:rPr>
      </w:r>
    </w:p>
    <w:p>
      <w:pPr>
        <w:pStyle w:val="831"/>
        <w:ind w:firstLine="709"/>
        <w:jc w:val="center"/>
        <w:rPr>
          <w:rFonts w:ascii="Arial" w:hAnsi="Arial" w:eastAsia="Calibri" w:cs="Arial"/>
          <w:b/>
          <w:bCs/>
          <w:sz w:val="26"/>
          <w:szCs w:val="26"/>
        </w:rPr>
      </w:pPr>
      <w:r>
        <w:rPr>
          <w:rFonts w:ascii="Arial" w:hAnsi="Arial" w:eastAsia="Calibri" w:cs="Arial"/>
          <w:b/>
        </w:rPr>
        <w:t xml:space="preserve">о </w:t>
      </w:r>
      <w:r>
        <w:rPr>
          <w:rFonts w:ascii="Arial" w:hAnsi="Arial" w:eastAsia="Calibri" w:cs="Arial"/>
          <w:b/>
          <w:sz w:val="26"/>
          <w:szCs w:val="26"/>
        </w:rPr>
        <w:t xml:space="preserve"> реализации </w:t>
      </w:r>
      <w:r>
        <w:rPr>
          <w:rFonts w:ascii="Arial" w:hAnsi="Arial" w:eastAsia="Calibri" w:cs="Arial"/>
          <w:b/>
          <w:sz w:val="26"/>
          <w:szCs w:val="26"/>
        </w:rPr>
        <w:t xml:space="preserve"> программы «Земский работник культуры»</w:t>
      </w:r>
      <w:r>
        <w:rPr>
          <w:rFonts w:ascii="Arial" w:hAnsi="Arial" w:eastAsia="Calibri" w:cs="Arial"/>
          <w:b/>
          <w:bCs/>
          <w:sz w:val="26"/>
          <w:szCs w:val="26"/>
        </w:rPr>
      </w:r>
      <w:r>
        <w:rPr>
          <w:rFonts w:ascii="Arial" w:hAnsi="Arial" w:eastAsia="Calibri" w:cs="Arial"/>
          <w:b/>
          <w:bCs/>
          <w:sz w:val="26"/>
          <w:szCs w:val="26"/>
        </w:rPr>
      </w:r>
    </w:p>
    <w:p>
      <w:pPr>
        <w:ind w:firstLine="709"/>
        <w:jc w:val="center"/>
        <w:rPr>
          <w:rFonts w:ascii="Arial" w:hAnsi="Arial" w:eastAsia="Calibri" w:cs="Arial"/>
          <w:b/>
          <w:bCs/>
        </w:rPr>
      </w:pPr>
      <w:r>
        <w:rPr>
          <w:rFonts w:ascii="Arial" w:hAnsi="Arial" w:eastAsia="Calibri" w:cs="Arial"/>
          <w:b/>
        </w:rPr>
      </w:r>
      <w:r>
        <w:rPr>
          <w:rFonts w:ascii="Arial" w:hAnsi="Arial" w:eastAsia="Calibri" w:cs="Arial"/>
          <w:b/>
          <w:bCs/>
        </w:rPr>
      </w:r>
      <w:r>
        <w:rPr>
          <w:rFonts w:ascii="Arial" w:hAnsi="Arial" w:eastAsia="Calibri" w:cs="Arial"/>
          <w:b/>
          <w:bCs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</w:rPr>
        <w:t xml:space="preserve">Федеральная программа «Земский работник культуры»  реализуется с 2025 года.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реализации программы могут принимать участие граждане Российской Федерации, имеющие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высшее образование или среднее профессиональное образование в сфере культуры.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Ограничений по возрасту 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не имеется.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Трудоустройство специалистов на вакантные должности в учреждениях культуры осуществляется по итогам конкурсного отбора.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конкурсном отборе имеют право принимать участие выпускники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организаций высшего образования или профессиональной образовательной организации по специальностям или направлениям подготовки в сфере культуры и искусства в год проведения конкурсного отбора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14:ligatures w14:val="none"/>
        </w:rPr>
        <w:t xml:space="preserve">В соответствии с программой работнику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eastAsia="ru-RU"/>
        </w:rPr>
        <w:t xml:space="preserve">отрасли культуры, </w:t>
      </w:r>
      <w:r>
        <w:rPr>
          <w:rFonts w:ascii="Arial" w:hAnsi="Arial" w:cs="Arial"/>
          <w:b w:val="0"/>
          <w:bCs w:val="0"/>
          <w:sz w:val="26"/>
          <w:szCs w:val="26"/>
        </w:rPr>
        <w:t xml:space="preserve">прибывшему (переехавшему)</w:t>
      </w:r>
      <w:r>
        <w:rPr>
          <w:rFonts w:ascii="Arial" w:hAnsi="Arial" w:cs="Arial"/>
          <w:b w:val="0"/>
          <w:bCs w:val="0"/>
          <w:sz w:val="26"/>
          <w:szCs w:val="26"/>
        </w:rPr>
        <w:t xml:space="preserve"> в населенные пункты с числом жителей до </w:t>
      </w:r>
      <w:r>
        <w:rPr>
          <w:rFonts w:ascii="Arial" w:hAnsi="Arial" w:cs="Arial"/>
          <w:b w:val="0"/>
          <w:bCs w:val="0"/>
          <w:sz w:val="26"/>
          <w:szCs w:val="26"/>
        </w:rPr>
        <w:t xml:space="preserve"> 50 тысяч челове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eastAsia="ru-RU"/>
        </w:rPr>
        <w:t xml:space="preserve">к,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eastAsia="ru-RU"/>
        </w:rPr>
        <w:t xml:space="preserve">и трудоустроенному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eastAsia="ru-RU"/>
        </w:rPr>
        <w:t xml:space="preserve"> </w:t>
      </w:r>
      <w:r>
        <w:rPr>
          <w:rFonts w:ascii="Arial" w:hAnsi="Arial" w:cs="Arial"/>
          <w:b w:val="0"/>
          <w:bCs w:val="0"/>
          <w:sz w:val="26"/>
          <w:szCs w:val="26"/>
        </w:rPr>
        <w:t xml:space="preserve">на вакантные должности в клубах, библиотеках, музеях, детских школах искусств, музыкальных или художественных школах предоставляется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единовременная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 компенсационная выплата в размере 1,0 млн рублей.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Чувашской Республике все населенные пункты, кроме городов Чебоксары и Новочебоксарск, могут быть местом трудоустройства земского работника культуры.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Единовременная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 компенсационная выплата</w:t>
      </w:r>
      <w:r>
        <w:rPr>
          <w:rFonts w:ascii="Arial" w:hAnsi="Arial" w:cs="Arial"/>
          <w:b/>
          <w:bCs/>
          <w:sz w:val="26"/>
          <w:szCs w:val="26"/>
          <w:highlight w:val="none"/>
          <w:lang w:val="ru-RU" w:eastAsia="ru-RU"/>
        </w:rPr>
        <w:t xml:space="preserve">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не облагается налогом и может быть израсходована получателем средств по своему усмотрению.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При трудоустройстве земским работником культуры заключается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трудовой 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договор об исполнении трудо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вых обязанностей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течение 5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лет со дня его з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а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ключения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на условиях полного рабочего дня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5-летний срок не входят периоды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отпусков по беременности и родам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, уходу за ребенком до достижения 3-х лет, отпуска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работникам, усыновившим ребенка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периоды призыва на военную службу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случае расторжения трудового договора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единовременная компенсационная выплата возвращается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республиканский бюджет Чувашской Республики в объеме, рассчитанном пропорционально неотработанному периоду со дня прекращения трудового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договора до истечения 5-летнего срока.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 2025 году в Чувашской Республике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eastAsia="ru-RU"/>
        </w:rPr>
        <w:t xml:space="preserve">по программе «Земский работник культуры» трудоустроено 8 специалистов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eastAsia="ru-RU"/>
          <w14:ligatures w14:val="none"/>
        </w:rPr>
        <w:t xml:space="preserve">, и них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4 специалиста - в клубы;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3 специалиста - в детские школы искусств;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1 специалист - в музей.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  <w:t xml:space="preserve">Трудоустройство специалистов в разрезе муниципальных образований</w:t>
      </w: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  <w:t xml:space="preserve">:</w:t>
      </w: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</w:r>
    </w:p>
    <w:p>
      <w:pPr>
        <w:ind w:left="0" w:right="0" w:firstLine="708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suppressLineNumbers w:val="0"/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Вурнарский МО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 1 специалист -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заведующий филиалом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Абызовского сельского Дома культуры ( 1 чел.);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8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suppressLineNumbers w:val="0"/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Канашский МО 2 специалиста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 -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художественный руководитель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Хучельского сельского Дома культуры 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преподаватель хореографии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Детской школы искусств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;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8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suppressLineNumbers w:val="0"/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Мариинско-Посадский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МО 2 специалиста -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преподаватель хореографии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детской школы искусств им. А.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 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Н.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 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Тогаева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 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научный сотрудник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Мемориального комплекса летчика-космонавта СССР А.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 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Г.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 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Николаева;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8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suppressLineNumbers w:val="0"/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Шумерлинский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МО 2 специалиста -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преподаватель фортепиано Детской школы искусств №1 г. Шумерля 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заведующий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Ходарского сельского Дома культуры;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8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Цивильский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 1 специалист -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художественный руководитель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</w:rPr>
        <w:t xml:space="preserve">Центра культурного развития.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i/>
          <w:iCs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i w:val="0"/>
          <w:i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i w:val="0"/>
          <w:iCs w:val="0"/>
          <w:sz w:val="26"/>
          <w:szCs w:val="26"/>
          <w:highlight w:val="none"/>
          <w14:ligatures w14:val="none"/>
        </w:rPr>
        <w:t xml:space="preserve">В Канашском и Шумерлинском муниципальных округах прибывшим специалистам по данной программе оказаны дополнительные меры поддержки в виде предоставления муниципального жилья. </w:t>
      </w:r>
      <w:r>
        <w:rPr>
          <w:rFonts w:ascii="Arial" w:hAnsi="Arial" w:cs="Arial"/>
          <w:b w:val="0"/>
          <w:bCs w:val="0"/>
          <w:i w:val="0"/>
          <w:iCs w:val="0"/>
          <w:sz w:val="26"/>
          <w:szCs w:val="26"/>
          <w:highlight w:val="none"/>
          <w14:ligatures w14:val="none"/>
        </w:rPr>
        <w:t xml:space="preserve">Остальные специалисты в жилье не нуждались.</w:t>
      </w:r>
      <w:r>
        <w:rPr>
          <w:rFonts w:ascii="Arial" w:hAnsi="Arial" w:cs="Arial"/>
          <w:b w:val="0"/>
          <w:bCs w:val="0"/>
          <w:i/>
          <w:iCs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i/>
          <w:iCs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  <w:t xml:space="preserve">В 2026 году по программе «Земский работник культуры» необходимо трудоустроить 20 специалистов. </w:t>
      </w: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/>
          <w:bCs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Конкурсный отбор претендентов объявлен 15 апреля 2026 г. и продлится до 15 июля 2026 года. В перечень вакантных должностей включены 48 должностей учреждений культуры из 18 муниципальных округов.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Администрациями Алатырского, Ибресинского, Комсомольского муниципальных округов предложения для включения перечень вакантных должностей не пре</w:t>
      </w:r>
      <w:r>
        <w:rPr>
          <w:rFonts w:ascii="Arial" w:hAnsi="Arial" w:cs="Arial"/>
          <w:b w:val="0"/>
          <w:bCs w:val="0"/>
          <w:sz w:val="26"/>
          <w:szCs w:val="26"/>
          <w:highlight w:val="none"/>
        </w:rPr>
        <w:t xml:space="preserve">дставлены в связи с отсутствием вакантных должностей в учреждениях культуры.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В учреждения культуры требуются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художественные руководители,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культорганизаторы,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заведующие клубами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руководители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коллективов самодеятельного народного творчества, клубов по интересам,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аккомпаниаторы, балетмейстеры, библиотекари,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  <w:t xml:space="preserve">преподаватели детских школ искусств, менеджеры культурно-досуговых организаций.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Отмечаем, что в текущем году в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образовательных организациях в сфере культуры и искусства завершают обучение 245 человек. Из них в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Чувашском государственном институте культуры и искусств 124 чел., Колледже культуры и искусств 34 чел., Чебоксарском музыкальном училище им. Ф. Павлова 33 чел., Ч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ебоксарском художественном училище 54 человека.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В программе «Земский работник культуры» могут принимат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ь уч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астие выпускники профильных специальностей Чувашского государственного университета им. И.Н. Ульянова,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Чувашского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государственного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педагогического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 университета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имени 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И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Я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.  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  <w:t xml:space="preserve">Яковлева.</w:t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:lang w:val="ru-RU" w:eastAsia="ru-RU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p>
      <w:pPr>
        <w:ind w:left="0" w:right="0" w:firstLine="709"/>
        <w:jc w:val="both"/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pP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  <w:r>
        <w:rPr>
          <w:rFonts w:ascii="Arial" w:hAnsi="Arial" w:cs="Arial"/>
          <w:b w:val="0"/>
          <w:bCs w:val="0"/>
          <w:sz w:val="26"/>
          <w:szCs w:val="26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680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Mangal">
    <w:panose1 w:val="02040503050306020203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next w:val="831"/>
    <w:link w:val="831"/>
    <w:qFormat/>
    <w:rPr>
      <w:sz w:val="24"/>
      <w:szCs w:val="24"/>
      <w:lang w:val="ru-RU" w:eastAsia="ru-RU" w:bidi="ar-SA"/>
    </w:rPr>
  </w:style>
  <w:style w:type="paragraph" w:styleId="832">
    <w:name w:val="Заголовок 1"/>
    <w:basedOn w:val="831"/>
    <w:next w:val="831"/>
    <w:link w:val="836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styleId="833">
    <w:name w:val="Основной шрифт абзаца"/>
    <w:next w:val="833"/>
    <w:link w:val="831"/>
    <w:semiHidden/>
  </w:style>
  <w:style w:type="table" w:styleId="834">
    <w:name w:val="Обычная таблица"/>
    <w:next w:val="834"/>
    <w:link w:val="831"/>
    <w:semiHidden/>
    <w:tblPr/>
  </w:style>
  <w:style w:type="numbering" w:styleId="835">
    <w:name w:val="Нет списка"/>
    <w:next w:val="835"/>
    <w:link w:val="831"/>
    <w:semiHidden/>
  </w:style>
  <w:style w:type="character" w:styleId="836">
    <w:name w:val="Заголовок 1 Знак"/>
    <w:next w:val="836"/>
    <w:link w:val="832"/>
    <w:rPr>
      <w:rFonts w:ascii="Cambria" w:hAnsi="Cambria"/>
      <w:b/>
      <w:sz w:val="32"/>
    </w:rPr>
  </w:style>
  <w:style w:type="paragraph" w:styleId="837">
    <w:name w:val="Название"/>
    <w:basedOn w:val="831"/>
    <w:next w:val="831"/>
    <w:link w:val="838"/>
    <w:qFormat/>
    <w:pPr>
      <w:jc w:val="center"/>
    </w:pPr>
    <w:rPr>
      <w:b/>
      <w:szCs w:val="20"/>
      <w:lang w:eastAsia="ar-SA"/>
    </w:rPr>
  </w:style>
  <w:style w:type="character" w:styleId="838">
    <w:name w:val="Название Знак"/>
    <w:next w:val="838"/>
    <w:link w:val="837"/>
    <w:rPr>
      <w:b/>
      <w:sz w:val="24"/>
      <w:lang w:val="en-US" w:eastAsia="ar-SA" w:bidi="ar-SA"/>
    </w:rPr>
  </w:style>
  <w:style w:type="paragraph" w:styleId="839">
    <w:name w:val="Подзаголовок"/>
    <w:basedOn w:val="831"/>
    <w:next w:val="831"/>
    <w:link w:val="840"/>
    <w:qFormat/>
    <w:pPr>
      <w:jc w:val="center"/>
      <w:keepNext/>
      <w:spacing w:before="240" w:after="120"/>
    </w:pPr>
    <w:rPr>
      <w:rFonts w:ascii="Arial" w:hAnsi="Arial" w:cs="Mangal"/>
      <w:i/>
      <w:iCs/>
      <w:sz w:val="28"/>
      <w:szCs w:val="28"/>
      <w:lang w:eastAsia="ar-SA"/>
    </w:rPr>
  </w:style>
  <w:style w:type="character" w:styleId="840">
    <w:name w:val="Подзаголовок Знак"/>
    <w:next w:val="840"/>
    <w:link w:val="839"/>
    <w:rPr>
      <w:rFonts w:ascii="Arial" w:hAnsi="Arial"/>
      <w:i/>
      <w:sz w:val="28"/>
      <w:lang w:val="en-US" w:eastAsia="ar-SA" w:bidi="ar-SA"/>
    </w:rPr>
  </w:style>
  <w:style w:type="paragraph" w:styleId="841">
    <w:name w:val="Основной текст"/>
    <w:basedOn w:val="831"/>
    <w:next w:val="841"/>
    <w:link w:val="842"/>
    <w:semiHidden/>
    <w:pPr>
      <w:spacing w:after="120"/>
    </w:pPr>
    <w:rPr>
      <w:lang w:eastAsia="ar-SA"/>
    </w:rPr>
  </w:style>
  <w:style w:type="character" w:styleId="842">
    <w:name w:val="Основной текст Знак"/>
    <w:next w:val="842"/>
    <w:link w:val="841"/>
    <w:semiHidden/>
    <w:rPr>
      <w:sz w:val="24"/>
      <w:lang w:val="en-US" w:eastAsia="ar-SA" w:bidi="ar-SA"/>
    </w:rPr>
  </w:style>
  <w:style w:type="character" w:styleId="843">
    <w:name w:val="Строгий"/>
    <w:next w:val="843"/>
    <w:link w:val="831"/>
    <w:qFormat/>
    <w:rPr>
      <w:rFonts w:ascii="Times New Roman" w:hAnsi="Times New Roman"/>
      <w:b/>
    </w:rPr>
  </w:style>
  <w:style w:type="character" w:styleId="844">
    <w:name w:val="Гиперссылка"/>
    <w:next w:val="844"/>
    <w:link w:val="831"/>
    <w:rPr>
      <w:rFonts w:ascii="Arial" w:hAnsi="Arial"/>
      <w:color w:val="006633"/>
      <w:sz w:val="28"/>
      <w:u w:val="none"/>
    </w:rPr>
  </w:style>
  <w:style w:type="paragraph" w:styleId="845">
    <w:name w:val="Текст выноски"/>
    <w:basedOn w:val="831"/>
    <w:next w:val="845"/>
    <w:link w:val="846"/>
    <w:semiHidden/>
    <w:rPr>
      <w:rFonts w:ascii="Tahoma" w:hAnsi="Tahoma"/>
      <w:sz w:val="16"/>
      <w:szCs w:val="16"/>
    </w:rPr>
  </w:style>
  <w:style w:type="character" w:styleId="846">
    <w:name w:val="Текст выноски Знак"/>
    <w:next w:val="846"/>
    <w:link w:val="845"/>
    <w:semiHidden/>
    <w:rPr>
      <w:rFonts w:ascii="Tahoma" w:hAnsi="Tahoma"/>
      <w:sz w:val="16"/>
    </w:rPr>
  </w:style>
  <w:style w:type="paragraph" w:styleId="847">
    <w:name w:val="No Spacing"/>
    <w:next w:val="847"/>
    <w:link w:val="831"/>
    <w:rPr>
      <w:rFonts w:ascii="Calibri" w:hAnsi="Calibri"/>
      <w:sz w:val="22"/>
      <w:szCs w:val="22"/>
      <w:lang w:val="ru-RU" w:eastAsia="en-US" w:bidi="ar-SA"/>
    </w:rPr>
  </w:style>
  <w:style w:type="paragraph" w:styleId="848">
    <w:name w:val="Обычный (веб)"/>
    <w:basedOn w:val="831"/>
    <w:next w:val="848"/>
    <w:link w:val="831"/>
    <w:uiPriority w:val="99"/>
    <w:semiHidden/>
    <w:pPr>
      <w:spacing w:before="100" w:beforeAutospacing="1" w:after="100" w:afterAutospacing="1"/>
    </w:pPr>
  </w:style>
  <w:style w:type="table" w:styleId="849">
    <w:name w:val="Сетка таблицы"/>
    <w:basedOn w:val="834"/>
    <w:next w:val="849"/>
    <w:link w:val="831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character" w:styleId="850" w:default="1">
    <w:name w:val="Default Paragraph Font"/>
    <w:uiPriority w:val="1"/>
    <w:semiHidden/>
    <w:unhideWhenUsed/>
  </w:style>
  <w:style w:type="numbering" w:styleId="851" w:default="1">
    <w:name w:val="No List"/>
    <w:uiPriority w:val="99"/>
    <w:semiHidden/>
    <w:unhideWhenUsed/>
  </w:style>
  <w:style w:type="table" w:styleId="852" w:default="1">
    <w:name w:val="Normal Table"/>
    <w:uiPriority w:val="99"/>
    <w:semiHidden/>
    <w:unhideWhenUsed/>
    <w:tblPr/>
  </w:style>
  <w:style w:type="paragraph" w:styleId="853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4" w:customStyle="1">
    <w:name w:val="Без интервала1"/>
    <w:basedOn w:val="84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5" w:customStyle="1">
    <w:name w:val="DStyle_paragraph3"/>
    <w:basedOn w:val="839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Times New Roman" w:cs="Liberation Serif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Reanimator Extreme Edition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3 вопросу</dc:title>
  <dc:creator>culture11</dc:creator>
  <cp:revision>22</cp:revision>
  <dcterms:created xsi:type="dcterms:W3CDTF">2024-01-26T05:18:00Z</dcterms:created>
  <dcterms:modified xsi:type="dcterms:W3CDTF">2026-05-18T06:39:09Z</dcterms:modified>
  <cp:version>917504</cp:version>
</cp:coreProperties>
</file>