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Приказ Минпромторга России от 03.02.2025 N 449</w:t>
              <w:br/>
              <w:t xml:space="preserve">"Об утверждении типовой формы безвозмездной открытой лицензии по предоставлению программного обеспечения, за исключением работ по его установке и настройке, осуществляемому оператором государственной информационной системы мониторинга за оборотом товаров, подлежащих обязательной маркировке средствами идентификации"</w:t>
              <w:br/>
              <w:t xml:space="preserve">(Зарегистрировано в Минюсте России 30.07.2025 N 83095)</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25.08.2025</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outlineLvl w:val="0"/>
      </w:pPr>
      <w:r>
        <w:rPr>
          <w:sz w:val="24"/>
        </w:rPr>
        <w:t xml:space="preserve">Зарегистрировано в Минюсте России 30 июля 2025 г. N 83095</w:t>
      </w:r>
    </w:p>
    <w:p>
      <w:pPr>
        <w:pStyle w:val="0"/>
        <w:pBdr>
          <w:bottom w:val="single" w:color="auto" w:sz="6" w:space="0"/>
        </w:pBdr>
        <w:spacing w:before="100" w:after="100"/>
        <w:jc w:val="both"/>
        <w:rPr>
          <w:sz w:val="2"/>
          <w:szCs w:val="2"/>
        </w:rPr>
      </w:pPr>
    </w:p>
    <w:p>
      <w:pPr>
        <w:pStyle w:val="0"/>
        <w:ind w:firstLine="540"/>
        <w:jc w:val="both"/>
      </w:pPr>
      <w:r>
        <w:rPr>
          <w:sz w:val="24"/>
        </w:rPr>
      </w:r>
    </w:p>
    <w:p>
      <w:pPr>
        <w:pStyle w:val="2"/>
        <w:jc w:val="center"/>
      </w:pPr>
      <w:r>
        <w:rPr>
          <w:sz w:val="24"/>
        </w:rPr>
        <w:t xml:space="preserve">МИНИСТЕРСТВО ПРОМЫШЛЕННОСТИ И ТОРГОВЛИ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 февраля 2025 г. N 449</w:t>
      </w:r>
    </w:p>
    <w:p>
      <w:pPr>
        <w:pStyle w:val="2"/>
        <w:jc w:val="center"/>
      </w:pPr>
      <w:r>
        <w:rPr>
          <w:sz w:val="24"/>
        </w:rPr>
      </w:r>
    </w:p>
    <w:p>
      <w:pPr>
        <w:pStyle w:val="2"/>
        <w:jc w:val="center"/>
      </w:pPr>
      <w:r>
        <w:rPr>
          <w:sz w:val="24"/>
        </w:rPr>
        <w:t xml:space="preserve">ОБ УТВЕРЖДЕНИИ ТИПОВОЙ ФОРМЫ БЕЗВОЗМЕЗДНОЙ ОТКРЫТОЙ ЛИЦЕНЗИИ</w:t>
      </w:r>
    </w:p>
    <w:p>
      <w:pPr>
        <w:pStyle w:val="2"/>
        <w:jc w:val="center"/>
      </w:pPr>
      <w:r>
        <w:rPr>
          <w:sz w:val="24"/>
        </w:rPr>
        <w:t xml:space="preserve">ПО ПРЕДОСТАВЛЕНИЮ ПРОГРАММНОГО ОБЕСПЕЧЕНИЯ, ЗА ИСКЛЮЧЕНИЕМ</w:t>
      </w:r>
    </w:p>
    <w:p>
      <w:pPr>
        <w:pStyle w:val="2"/>
        <w:jc w:val="center"/>
      </w:pPr>
      <w:r>
        <w:rPr>
          <w:sz w:val="24"/>
        </w:rPr>
        <w:t xml:space="preserve">РАБОТ ПО ЕГО УСТАНОВКЕ И НАСТРОЙКЕ, ОСУЩЕСТВЛЯЕМОМУ</w:t>
      </w:r>
    </w:p>
    <w:p>
      <w:pPr>
        <w:pStyle w:val="2"/>
        <w:jc w:val="center"/>
      </w:pPr>
      <w:r>
        <w:rPr>
          <w:sz w:val="24"/>
        </w:rPr>
        <w:t xml:space="preserve">ОПЕРАТОРОМ ГОСУДАРСТВЕННОЙ ИНФОРМАЦИОННОЙ СИСТЕМЫ</w:t>
      </w:r>
    </w:p>
    <w:p>
      <w:pPr>
        <w:pStyle w:val="2"/>
        <w:jc w:val="center"/>
      </w:pPr>
      <w:r>
        <w:rPr>
          <w:sz w:val="24"/>
        </w:rPr>
        <w:t xml:space="preserve">МОНИТОРИНГА ЗА ОБОРОТОМ ТОВАРОВ, ПОДЛЕЖАЩИХ</w:t>
      </w:r>
    </w:p>
    <w:p>
      <w:pPr>
        <w:pStyle w:val="2"/>
        <w:jc w:val="center"/>
      </w:pPr>
      <w:r>
        <w:rPr>
          <w:sz w:val="24"/>
        </w:rPr>
        <w:t xml:space="preserve">ОБЯЗАТЕЛЬНОЙ МАРКИРОВКЕ СРЕДСТВАМИ ИДЕНТИФИКАЦИИ</w:t>
      </w:r>
    </w:p>
    <w:p>
      <w:pPr>
        <w:pStyle w:val="0"/>
        <w:ind w:firstLine="540"/>
        <w:jc w:val="both"/>
      </w:pPr>
      <w:r>
        <w:rPr>
          <w:sz w:val="24"/>
        </w:rPr>
      </w:r>
    </w:p>
    <w:p>
      <w:pPr>
        <w:pStyle w:val="0"/>
        <w:ind w:firstLine="540"/>
        <w:jc w:val="both"/>
      </w:pPr>
      <w:r>
        <w:rPr>
          <w:sz w:val="24"/>
        </w:rPr>
        <w:t xml:space="preserve">В соответствии с </w:t>
      </w:r>
      <w:r>
        <w:rPr>
          <w:sz w:val="24"/>
        </w:rPr>
        <w:t xml:space="preserve">абзацем вторым подпункта "в" пункта 10</w:t>
      </w:r>
      <w:r>
        <w:rPr>
          <w:sz w:val="24"/>
        </w:rPr>
        <w:t xml:space="preserve">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 утвержденных постановлением Правительства Российской Федерации от 21 ноября 2023 г. N 1944 "Об утверждении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о таких товарах, и особенностей внедрения указанного запрета в отношении отдельных товаров, а также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 приказываю:</w:t>
      </w:r>
    </w:p>
    <w:p>
      <w:pPr>
        <w:pStyle w:val="0"/>
        <w:spacing w:before="240"/>
        <w:ind w:firstLine="540"/>
        <w:jc w:val="both"/>
      </w:pPr>
      <w:r>
        <w:rPr>
          <w:sz w:val="24"/>
        </w:rPr>
        <w:t xml:space="preserve">1. Утвердить прилагаемую типовую </w:t>
      </w:r>
      <w:hyperlink w:tooltip="Типовая форма" w:anchor="P31" w:history="0">
        <w:r>
          <w:rPr>
            <w:color w:val="0000ff"/>
            <w:sz w:val="24"/>
          </w:rPr>
          <w:t xml:space="preserve">форму</w:t>
        </w:r>
      </w:hyperlink>
      <w:r>
        <w:rPr>
          <w:sz w:val="24"/>
        </w:rPr>
        <w:t xml:space="preserve"> безвозмездной открытой лицензии по предоставлению программного обеспечения, за исключением работ по его установке и настройке, осуществляемому оператором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spacing w:before="240"/>
        <w:ind w:firstLine="540"/>
        <w:jc w:val="both"/>
      </w:pPr>
      <w:r>
        <w:rPr>
          <w:sz w:val="24"/>
        </w:rPr>
        <w:t xml:space="preserve">2. Контроль за исполнением приказа возложить на заместителя Министра промышленности и торговли Российской Федерации Е.Г. Приезжеву.</w:t>
      </w:r>
    </w:p>
    <w:p>
      <w:pPr>
        <w:pStyle w:val="0"/>
        <w:ind w:firstLine="540"/>
        <w:jc w:val="both"/>
      </w:pPr>
      <w:r>
        <w:rPr>
          <w:sz w:val="24"/>
        </w:rPr>
      </w:r>
    </w:p>
    <w:p>
      <w:pPr>
        <w:pStyle w:val="0"/>
        <w:jc w:val="right"/>
      </w:pPr>
      <w:r>
        <w:rPr>
          <w:sz w:val="24"/>
        </w:rPr>
        <w:t xml:space="preserve">Врио Министра</w:t>
      </w:r>
    </w:p>
    <w:p>
      <w:pPr>
        <w:pStyle w:val="0"/>
        <w:jc w:val="right"/>
      </w:pPr>
      <w:r>
        <w:rPr>
          <w:sz w:val="24"/>
        </w:rPr>
        <w:t xml:space="preserve">В.С.ОСЬМАКОВ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Утверждена</w:t>
      </w:r>
    </w:p>
    <w:p>
      <w:pPr>
        <w:pStyle w:val="0"/>
        <w:jc w:val="right"/>
      </w:pPr>
      <w:r>
        <w:rPr>
          <w:sz w:val="24"/>
        </w:rPr>
        <w:t xml:space="preserve">приказом Минпромторга России</w:t>
      </w:r>
    </w:p>
    <w:p>
      <w:pPr>
        <w:pStyle w:val="0"/>
        <w:jc w:val="right"/>
      </w:pPr>
      <w:r>
        <w:rPr>
          <w:sz w:val="24"/>
        </w:rPr>
        <w:t xml:space="preserve">от 3 февраля 2025 г. N 449</w:t>
      </w:r>
    </w:p>
    <w:p>
      <w:pPr>
        <w:pStyle w:val="0"/>
        <w:jc w:val="right"/>
      </w:pPr>
      <w:r>
        <w:rPr>
          <w:sz w:val="24"/>
        </w:rPr>
      </w:r>
    </w:p>
    <w:bookmarkStart w:id="31" w:name="P31"/>
    <w:bookmarkEnd w:id="31"/>
    <w:p>
      <w:pPr>
        <w:pStyle w:val="0"/>
        <w:jc w:val="center"/>
      </w:pPr>
      <w:r>
        <w:rPr>
          <w:sz w:val="24"/>
        </w:rPr>
        <w:t xml:space="preserve">Типовая форма</w:t>
      </w:r>
    </w:p>
    <w:p>
      <w:pPr>
        <w:pStyle w:val="0"/>
        <w:jc w:val="center"/>
      </w:pPr>
      <w:r>
        <w:rPr>
          <w:sz w:val="24"/>
        </w:rPr>
        <w:t xml:space="preserve">безвозмездной открытой лицензии</w:t>
      </w:r>
    </w:p>
    <w:p>
      <w:pPr>
        <w:pStyle w:val="0"/>
        <w:jc w:val="center"/>
      </w:pPr>
      <w:r>
        <w:rPr>
          <w:sz w:val="24"/>
        </w:rPr>
        <w:t xml:space="preserve">по предоставлению программного обеспечения, за исключением</w:t>
      </w:r>
    </w:p>
    <w:p>
      <w:pPr>
        <w:pStyle w:val="0"/>
        <w:jc w:val="center"/>
      </w:pPr>
      <w:r>
        <w:rPr>
          <w:sz w:val="24"/>
        </w:rPr>
        <w:t xml:space="preserve">работ по его установке и настройке, осуществляемому</w:t>
      </w:r>
    </w:p>
    <w:p>
      <w:pPr>
        <w:pStyle w:val="0"/>
        <w:jc w:val="center"/>
      </w:pPr>
      <w:r>
        <w:rPr>
          <w:sz w:val="24"/>
        </w:rPr>
        <w:t xml:space="preserve">оператором государственной информационной системы</w:t>
      </w:r>
    </w:p>
    <w:p>
      <w:pPr>
        <w:pStyle w:val="0"/>
        <w:jc w:val="center"/>
      </w:pPr>
      <w:r>
        <w:rPr>
          <w:sz w:val="24"/>
        </w:rPr>
        <w:t xml:space="preserve">мониторинга за оборотом товаров, подлежащих</w:t>
      </w:r>
    </w:p>
    <w:p>
      <w:pPr>
        <w:pStyle w:val="0"/>
        <w:jc w:val="center"/>
      </w:pPr>
      <w:r>
        <w:rPr>
          <w:sz w:val="24"/>
        </w:rPr>
        <w:t xml:space="preserve">обязательной маркировке средствами идентификации</w:t>
      </w:r>
    </w:p>
    <w:p>
      <w:pPr>
        <w:pStyle w:val="0"/>
        <w:jc w:val="center"/>
      </w:pPr>
      <w:r>
        <w:rPr>
          <w:sz w:val="24"/>
        </w:rPr>
      </w:r>
    </w:p>
    <w:tbl>
      <w:tblPr>
        <w:tblInd w:w="0" w:type="dxa"/>
        <w:tblLayout w:type="fixed"/>
        <w:tblCellMar>
          <w:left w:w="62" w:type="dxa"/>
          <w:top w:w="102" w:type="dxa"/>
          <w:right w:w="62" w:type="dxa"/>
          <w:bottom w:w="102" w:type="dxa"/>
        </w:tblCellMar>
      </w:tblPr>
      <w:tblGrid>
        <w:gridCol w:w="4535"/>
        <w:gridCol w:w="4535"/>
      </w:tblGrid>
      <w:tr>
        <w:tc>
          <w:tcPr>
            <w:tcW w:w="4535" w:type="dxa"/>
            <w:tcBorders>
              <w:top w:val="none"/>
              <w:left w:val="none"/>
              <w:bottom w:val="none"/>
              <w:right w:val="none"/>
            </w:tcBorders>
          </w:tcPr>
          <w:p>
            <w:pPr>
              <w:pStyle w:val="0"/>
              <w:jc w:val="both"/>
            </w:pPr>
            <w:r>
              <w:rPr>
                <w:sz w:val="24"/>
              </w:rPr>
              <w:t xml:space="preserve">г. Москва</w:t>
            </w:r>
          </w:p>
        </w:tc>
        <w:tc>
          <w:tcPr>
            <w:tcW w:w="4535" w:type="dxa"/>
            <w:tcBorders>
              <w:top w:val="none"/>
              <w:left w:val="none"/>
              <w:bottom w:val="none"/>
              <w:right w:val="none"/>
            </w:tcBorders>
          </w:tcPr>
          <w:p>
            <w:pPr>
              <w:pStyle w:val="0"/>
              <w:jc w:val="right"/>
            </w:pPr>
            <w:r>
              <w:rPr>
                <w:sz w:val="24"/>
              </w:rPr>
              <w:t xml:space="preserve">"__" __________________ 20__ г.</w:t>
            </w:r>
          </w:p>
        </w:tc>
      </w:tr>
    </w:tbl>
    <w:p>
      <w:pPr>
        <w:pStyle w:val="0"/>
        <w:jc w:val="both"/>
      </w:pPr>
      <w:r>
        <w:rPr>
          <w:sz w:val="24"/>
        </w:rPr>
      </w:r>
    </w:p>
    <w:p>
      <w:pPr>
        <w:pStyle w:val="0"/>
        <w:ind w:firstLine="540"/>
        <w:jc w:val="both"/>
      </w:pPr>
      <w:r>
        <w:rPr>
          <w:sz w:val="24"/>
        </w:rPr>
        <w:t xml:space="preserve">Настоящая открытая лицензия является простой (неисключительной) лицензией на использование программы для электронных вычислительных машин "Локальный модуль "Честный Знак" (далее - ЭВМ, программа для ЭВМ), правообладателем которой является общество с ограниченной ответственностью "Оператор-ЦРПТ", определенное оператором государственной информационной системы мониторинга за оборотом товаров, подлежащих обязательной маркировке средствами идентификации &lt;1&gt; (далее - информационная система мониторинга), в соответствии с </w:t>
      </w:r>
      <w:r>
        <w:rPr>
          <w:sz w:val="24"/>
        </w:rPr>
        <w:t xml:space="preserve">распоряжением</w:t>
      </w:r>
      <w:r>
        <w:rPr>
          <w:sz w:val="24"/>
        </w:rPr>
        <w:t xml:space="preserve"> Правительства Российской Федерации от 3 апреля 2019 г. N 620-р (далее - Лицензиар, оператор, Лицензия).</w:t>
      </w:r>
    </w:p>
    <w:p>
      <w:pPr>
        <w:pStyle w:val="0"/>
        <w:spacing w:before="240"/>
        <w:ind w:firstLine="540"/>
        <w:jc w:val="both"/>
      </w:pPr>
      <w:r>
        <w:rPr>
          <w:sz w:val="24"/>
        </w:rPr>
        <w:t xml:space="preserve">--------------------------------</w:t>
      </w:r>
    </w:p>
    <w:p>
      <w:pPr>
        <w:pStyle w:val="0"/>
        <w:spacing w:before="240"/>
        <w:ind w:firstLine="540"/>
        <w:jc w:val="both"/>
      </w:pPr>
      <w:r>
        <w:rPr>
          <w:sz w:val="24"/>
        </w:rPr>
        <w:t xml:space="preserve">&lt;1&gt; </w:t>
      </w:r>
      <w:r>
        <w:rPr>
          <w:sz w:val="24"/>
        </w:rPr>
        <w:t xml:space="preserve">Статья 20.1</w:t>
      </w:r>
      <w:r>
        <w:rPr>
          <w:sz w:val="24"/>
        </w:rPr>
        <w:t xml:space="preserve"> Федерального закона от 28 декабря 2009 г. N 381-ФЗ "Об основах государственного регулирования торговой деятельности в Российской Федерации".</w:t>
      </w:r>
    </w:p>
    <w:p>
      <w:pPr>
        <w:pStyle w:val="0"/>
        <w:ind w:firstLine="540"/>
        <w:jc w:val="both"/>
      </w:pPr>
      <w:r>
        <w:rPr>
          <w:sz w:val="24"/>
        </w:rPr>
      </w:r>
    </w:p>
    <w:p>
      <w:pPr>
        <w:pStyle w:val="0"/>
        <w:ind w:firstLine="540"/>
        <w:jc w:val="both"/>
      </w:pPr>
      <w:r>
        <w:rPr>
          <w:sz w:val="24"/>
        </w:rPr>
        <w:t xml:space="preserve">Условия Лицензии размещены на официальном сайте оператора в информационно-телекоммуникационной сети "Интернет" по адресу: </w:t>
      </w:r>
      <w:hyperlink r:id="rId13" w:history="0">
        <w:r>
          <w:rPr>
            <w:color w:val="0000ff"/>
            <w:sz w:val="24"/>
          </w:rPr>
          <w:t xml:space="preserve">https://честныйзнак.рф</w:t>
        </w:r>
      </w:hyperlink>
      <w:r>
        <w:rPr>
          <w:sz w:val="24"/>
        </w:rPr>
        <w:t xml:space="preserve"> (далее - официальный сайт Лицензиара).</w:t>
      </w:r>
    </w:p>
    <w:p>
      <w:pPr>
        <w:pStyle w:val="0"/>
        <w:spacing w:before="240"/>
        <w:ind w:firstLine="540"/>
        <w:jc w:val="both"/>
      </w:pPr>
      <w:r>
        <w:rPr>
          <w:sz w:val="24"/>
        </w:rPr>
        <w:t xml:space="preserve">Лицензия является договором присоединения в соответствии со </w:t>
      </w:r>
      <w:r>
        <w:rPr>
          <w:sz w:val="24"/>
        </w:rPr>
        <w:t xml:space="preserve">статьей 428</w:t>
      </w:r>
      <w:r>
        <w:rPr>
          <w:sz w:val="24"/>
        </w:rPr>
        <w:t xml:space="preserve"> Гражданского кодекса Российской Федерации, условия которого определены в тексте Лицензии и принимаются другой стороной (далее - Лицензиат, при совместном упоминании - Стороны) не иначе, как путем присоединения к предложенному договору в целом.</w:t>
      </w:r>
    </w:p>
    <w:p>
      <w:pPr>
        <w:pStyle w:val="0"/>
        <w:ind w:firstLine="540"/>
        <w:jc w:val="both"/>
      </w:pPr>
      <w:r>
        <w:rPr>
          <w:sz w:val="24"/>
        </w:rPr>
      </w:r>
    </w:p>
    <w:p>
      <w:pPr>
        <w:pStyle w:val="0"/>
        <w:jc w:val="center"/>
        <w:outlineLvl w:val="1"/>
      </w:pPr>
      <w:r>
        <w:rPr>
          <w:sz w:val="24"/>
        </w:rPr>
        <w:t xml:space="preserve">I. Предмет Лицензии</w:t>
      </w:r>
    </w:p>
    <w:p>
      <w:pPr>
        <w:pStyle w:val="0"/>
        <w:jc w:val="center"/>
      </w:pPr>
      <w:r>
        <w:rPr>
          <w:sz w:val="24"/>
        </w:rPr>
      </w:r>
    </w:p>
    <w:bookmarkStart w:id="51" w:name="P51"/>
    <w:bookmarkEnd w:id="51"/>
    <w:p>
      <w:pPr>
        <w:pStyle w:val="0"/>
        <w:ind w:firstLine="540"/>
        <w:jc w:val="both"/>
      </w:pPr>
      <w:r>
        <w:rPr>
          <w:sz w:val="24"/>
        </w:rPr>
        <w:t xml:space="preserve">1.1. Лицензиар предоставляет Лицензиату право использования программы для ЭВМ на условиях простой (неисключительной) лицензии, включая воспроизведение программы для ЭВМ, инсталляцию и запуск программы для ЭВМ, хранение в памяти ЭВМ и (или) серверов, копирование, активацию программы для ЭВМ, обновление и использование актуальных версий программы для ЭВМ, использование программы для ЭВМ в составе иных программ для ЭВМ, с учетом требований гражданского законодательства Российской Федерации.</w:t>
      </w:r>
    </w:p>
    <w:p>
      <w:pPr>
        <w:pStyle w:val="0"/>
        <w:spacing w:before="240"/>
        <w:ind w:firstLine="540"/>
        <w:jc w:val="both"/>
      </w:pPr>
      <w:r>
        <w:rPr>
          <w:sz w:val="24"/>
        </w:rPr>
        <w:t xml:space="preserve">1.2. Территория использования программы для ЭВМ - Российская Федерация.</w:t>
      </w:r>
    </w:p>
    <w:p>
      <w:pPr>
        <w:pStyle w:val="0"/>
        <w:spacing w:before="240"/>
        <w:ind w:firstLine="540"/>
        <w:jc w:val="both"/>
      </w:pPr>
      <w:r>
        <w:rPr>
          <w:sz w:val="24"/>
        </w:rPr>
        <w:t xml:space="preserve">1.3. Лицензия является безвозмездной.</w:t>
      </w:r>
    </w:p>
    <w:p>
      <w:pPr>
        <w:pStyle w:val="0"/>
        <w:spacing w:before="240"/>
        <w:ind w:firstLine="540"/>
        <w:jc w:val="both"/>
      </w:pPr>
      <w:r>
        <w:rPr>
          <w:sz w:val="24"/>
        </w:rPr>
        <w:t xml:space="preserve">1.4. Лицензиат обязуется не предпринимать каких-либо действий, направленных на получение иных интеллектуальных прав на программу для ЭВМ либо отдельные элементы программы для ЭВМ.</w:t>
      </w:r>
    </w:p>
    <w:p>
      <w:pPr>
        <w:pStyle w:val="0"/>
        <w:spacing w:before="240"/>
        <w:ind w:firstLine="540"/>
        <w:jc w:val="both"/>
      </w:pPr>
      <w:r>
        <w:rPr>
          <w:sz w:val="24"/>
        </w:rPr>
        <w:t xml:space="preserve">1.5. Лицензия не дает разрешения на использование фирменных наименований, товарных знаков, знаков обслуживания или наименований программных продуктов Лицензиара.</w:t>
      </w:r>
    </w:p>
    <w:p>
      <w:pPr>
        <w:pStyle w:val="0"/>
        <w:spacing w:before="240"/>
        <w:ind w:firstLine="540"/>
        <w:jc w:val="both"/>
      </w:pPr>
      <w:r>
        <w:rPr>
          <w:sz w:val="24"/>
        </w:rPr>
        <w:t xml:space="preserve">1.6. Настоящим Лицензиар дает согласие Лицензиату на заключение сублицензионных договоров на условиях, указанных в </w:t>
      </w:r>
      <w:hyperlink w:tooltip="а) заключать сублицензионные договоры с лицами, которым Лицензиат поручил осуществлять от своего имени действия, связанные с формированием и актуализацией баз данных кодов товаров и (или) кодов идентификации в отношении товаров, оборот которых запрещен или приостановлен по решению органов государственного контроля (надзора), принятому в пределах установленных полномочий (для товаров, сведения об обороте которых подаются в информационную систему мониторинга не в отношении отдельной единицы товара), при эт..." w:anchor="P76" w:history="0">
        <w:r>
          <w:rPr>
            <w:color w:val="0000ff"/>
            <w:sz w:val="24"/>
          </w:rPr>
          <w:t xml:space="preserve">подпункте "а" пункта 2.6</w:t>
        </w:r>
      </w:hyperlink>
      <w:r>
        <w:rPr>
          <w:sz w:val="24"/>
        </w:rPr>
        <w:t xml:space="preserve"> Лицензии &lt;2&gt;.</w:t>
      </w:r>
    </w:p>
    <w:p>
      <w:pPr>
        <w:pStyle w:val="0"/>
        <w:spacing w:before="240"/>
        <w:ind w:firstLine="540"/>
        <w:jc w:val="both"/>
      </w:pPr>
      <w:r>
        <w:rPr>
          <w:sz w:val="24"/>
        </w:rPr>
        <w:t xml:space="preserve">--------------------------------</w:t>
      </w:r>
    </w:p>
    <w:p>
      <w:pPr>
        <w:pStyle w:val="0"/>
        <w:spacing w:before="240"/>
        <w:ind w:firstLine="540"/>
        <w:jc w:val="both"/>
      </w:pPr>
      <w:r>
        <w:rPr>
          <w:sz w:val="24"/>
        </w:rPr>
        <w:t xml:space="preserve">&lt;2&gt; </w:t>
      </w:r>
      <w:r>
        <w:rPr>
          <w:sz w:val="24"/>
        </w:rPr>
        <w:t xml:space="preserve">Статья 1238</w:t>
      </w:r>
      <w:r>
        <w:rPr>
          <w:sz w:val="24"/>
        </w:rPr>
        <w:t xml:space="preserve"> Гражданского кодекса Российской Федерации.</w:t>
      </w:r>
    </w:p>
    <w:p>
      <w:pPr>
        <w:pStyle w:val="0"/>
        <w:ind w:firstLine="540"/>
        <w:jc w:val="both"/>
      </w:pPr>
      <w:r>
        <w:rPr>
          <w:sz w:val="24"/>
        </w:rPr>
      </w:r>
    </w:p>
    <w:p>
      <w:pPr>
        <w:pStyle w:val="0"/>
        <w:jc w:val="center"/>
        <w:outlineLvl w:val="1"/>
      </w:pPr>
      <w:r>
        <w:rPr>
          <w:sz w:val="24"/>
        </w:rPr>
        <w:t xml:space="preserve">II. Взаимоотношения Сторон</w:t>
      </w:r>
    </w:p>
    <w:p>
      <w:pPr>
        <w:pStyle w:val="0"/>
        <w:jc w:val="center"/>
      </w:pPr>
      <w:r>
        <w:rPr>
          <w:sz w:val="24"/>
        </w:rPr>
      </w:r>
    </w:p>
    <w:p>
      <w:pPr>
        <w:pStyle w:val="0"/>
        <w:ind w:firstLine="540"/>
        <w:jc w:val="both"/>
      </w:pPr>
      <w:r>
        <w:rPr>
          <w:sz w:val="24"/>
        </w:rPr>
        <w:t xml:space="preserve">2.1. Лицензиар принимает на себя обязательство по технической поддержке пользователей программы для ЭВМ в соответствии с правилами технической поддержки пользователей программы для ЭВМ "Локальный модуль "Честный Знак", которые размещаются Лицензиаром на официальном сайте Лицензиара (далее - правила технической поддержки).</w:t>
      </w:r>
    </w:p>
    <w:p>
      <w:pPr>
        <w:pStyle w:val="0"/>
        <w:spacing w:before="240"/>
        <w:ind w:firstLine="540"/>
        <w:jc w:val="both"/>
      </w:pPr>
      <w:r>
        <w:rPr>
          <w:sz w:val="24"/>
        </w:rPr>
        <w:t xml:space="preserve">2.2. В течение срока действия Лицензии, указанного в </w:t>
      </w:r>
      <w:hyperlink w:tooltip="4.2. Лицензия предоставляется на срок действия исключительного права на программу для ЭВМ." w:anchor="P100" w:history="0">
        <w:r>
          <w:rPr>
            <w:color w:val="0000ff"/>
            <w:sz w:val="24"/>
          </w:rPr>
          <w:t xml:space="preserve">пункте 4.2</w:t>
        </w:r>
      </w:hyperlink>
      <w:r>
        <w:rPr>
          <w:sz w:val="24"/>
        </w:rPr>
        <w:t xml:space="preserve"> Лицензии, Лицензиар обязан воздерживаться от каких-либо действий, способных затруднить осуществление Лицензиатом предоставленного ему права на использование программы для ЭВМ в установленных Лицензией пределах.</w:t>
      </w:r>
    </w:p>
    <w:p>
      <w:pPr>
        <w:pStyle w:val="0"/>
        <w:spacing w:before="240"/>
        <w:ind w:firstLine="540"/>
        <w:jc w:val="both"/>
      </w:pPr>
      <w:r>
        <w:rPr>
          <w:sz w:val="24"/>
        </w:rPr>
        <w:t xml:space="preserve">2.3. Лицензиар вправе:</w:t>
      </w:r>
    </w:p>
    <w:p>
      <w:pPr>
        <w:pStyle w:val="0"/>
        <w:spacing w:before="240"/>
        <w:ind w:firstLine="540"/>
        <w:jc w:val="both"/>
      </w:pPr>
      <w:r>
        <w:rPr>
          <w:sz w:val="24"/>
        </w:rPr>
        <w:t xml:space="preserve">а) дорабатывать, дополнять, исправлять ошибки в программе для ЭВМ, а также вносить любые другие изменения в нее. Каждое изменение, доработка, совершенное Лицензиаром в отношении программы для ЭВМ, становится ее неотъемлемой частью, на которую распространяются условия Лицензии;</w:t>
      </w:r>
    </w:p>
    <w:p>
      <w:pPr>
        <w:pStyle w:val="0"/>
        <w:spacing w:before="240"/>
        <w:ind w:firstLine="540"/>
        <w:jc w:val="both"/>
      </w:pPr>
      <w:r>
        <w:rPr>
          <w:sz w:val="24"/>
        </w:rPr>
        <w:t xml:space="preserve">б) направлять при необходимости Лицензиату уведомления об изменениях, доработках программы для ЭВМ и (или) корректирующих исправлениях посредством личного кабинета Лицензиата в информационной системе мониторинга;</w:t>
      </w:r>
    </w:p>
    <w:p>
      <w:pPr>
        <w:pStyle w:val="0"/>
        <w:spacing w:before="240"/>
        <w:ind w:firstLine="540"/>
        <w:jc w:val="both"/>
      </w:pPr>
      <w:r>
        <w:rPr>
          <w:sz w:val="24"/>
        </w:rPr>
        <w:t xml:space="preserve">в) в одностороннем порядке полностью или частично отказаться от настоящего лицензионного договора, если Лицензиат будет предоставлять третьим лицам права на использование принадлежащей Лицензиару программы для ЭВМ, либо на использование нового результата интеллектуальной деятельности, созданного Лицензиатом на основе программы для ЭВМ, право использования по которой предоставляется Лицензиату настоящим лицензионным договором, за пределами прав и (или) на иных условиях, чем те, которые предусмотрены Лицензией.</w:t>
      </w:r>
    </w:p>
    <w:p>
      <w:pPr>
        <w:pStyle w:val="0"/>
        <w:spacing w:before="240"/>
        <w:ind w:firstLine="540"/>
        <w:jc w:val="both"/>
      </w:pPr>
      <w:r>
        <w:rPr>
          <w:sz w:val="24"/>
        </w:rPr>
        <w:t xml:space="preserve">Соответствующее уведомление направляется Лицензиаром в личный кабинет Лицензиата в информационной системе мониторинга.</w:t>
      </w:r>
    </w:p>
    <w:p>
      <w:pPr>
        <w:pStyle w:val="0"/>
        <w:spacing w:before="240"/>
        <w:ind w:firstLine="540"/>
        <w:jc w:val="both"/>
      </w:pPr>
      <w:r>
        <w:rPr>
          <w:sz w:val="24"/>
        </w:rPr>
        <w:t xml:space="preserve">2.4. Лицензиар сохраняет за собой право использования программы для ЭВМ, а также может предоставлять право использования программы для ЭВМ иным лицам.</w:t>
      </w:r>
    </w:p>
    <w:p>
      <w:pPr>
        <w:pStyle w:val="0"/>
        <w:spacing w:before="240"/>
        <w:ind w:firstLine="540"/>
        <w:jc w:val="both"/>
      </w:pPr>
      <w:r>
        <w:rPr>
          <w:sz w:val="24"/>
        </w:rPr>
        <w:t xml:space="preserve">2.5. Лицензиат обязан:</w:t>
      </w:r>
    </w:p>
    <w:p>
      <w:pPr>
        <w:pStyle w:val="0"/>
        <w:spacing w:before="240"/>
        <w:ind w:firstLine="540"/>
        <w:jc w:val="both"/>
      </w:pPr>
      <w:r>
        <w:rPr>
          <w:sz w:val="24"/>
        </w:rPr>
        <w:t xml:space="preserve">а) использовать программу для ЭВМ для целей, установленных законодательством Российской Федерации, в порядке и на условиях, предусмотренных Лицензией;</w:t>
      </w:r>
    </w:p>
    <w:p>
      <w:pPr>
        <w:pStyle w:val="0"/>
        <w:spacing w:before="240"/>
        <w:ind w:firstLine="540"/>
        <w:jc w:val="both"/>
      </w:pPr>
      <w:r>
        <w:rPr>
          <w:sz w:val="24"/>
        </w:rPr>
        <w:t xml:space="preserve">б) по требованию Лицензиара предоставить последнему отчеты об использовании программы для ЭВМ;</w:t>
      </w:r>
    </w:p>
    <w:p>
      <w:pPr>
        <w:pStyle w:val="0"/>
        <w:spacing w:before="240"/>
        <w:ind w:firstLine="540"/>
        <w:jc w:val="both"/>
      </w:pPr>
      <w:r>
        <w:rPr>
          <w:sz w:val="24"/>
        </w:rPr>
        <w:t xml:space="preserve">в) своевременно осуществлять установки изменений и (или) доработок программы для ЭВМ, а также необходимых к использованию компонентов программы для ЭВМ;</w:t>
      </w:r>
    </w:p>
    <w:p>
      <w:pPr>
        <w:pStyle w:val="0"/>
        <w:spacing w:before="240"/>
        <w:ind w:firstLine="540"/>
        <w:jc w:val="both"/>
      </w:pPr>
      <w:r>
        <w:rPr>
          <w:sz w:val="24"/>
        </w:rPr>
        <w:t xml:space="preserve">г) выполнять требования пользовательского соглашения, технической документации и документации по установке и настройке программы для ЭВМ, которые размещены на официальном сайте Лицензиара.</w:t>
      </w:r>
    </w:p>
    <w:p>
      <w:pPr>
        <w:pStyle w:val="0"/>
        <w:spacing w:before="240"/>
        <w:ind w:firstLine="540"/>
        <w:jc w:val="both"/>
      </w:pPr>
      <w:r>
        <w:rPr>
          <w:sz w:val="24"/>
        </w:rPr>
        <w:t xml:space="preserve">2.6. Лицензиат вправе:</w:t>
      </w:r>
    </w:p>
    <w:bookmarkStart w:id="76" w:name="P76"/>
    <w:bookmarkEnd w:id="76"/>
    <w:p>
      <w:pPr>
        <w:pStyle w:val="0"/>
        <w:spacing w:before="240"/>
        <w:ind w:firstLine="540"/>
        <w:jc w:val="both"/>
      </w:pPr>
      <w:r>
        <w:rPr>
          <w:sz w:val="24"/>
        </w:rPr>
        <w:t xml:space="preserve">а) заключать сублицензионные договоры с лицами, которым Лицензиат поручил осуществлять от своего имени действия, связанные с формированием и актуализацией баз данных кодов товаров и (или) кодов идентификации в отношении товаров, оборот которых запрещен или приостановлен по решению органов государственного контроля (надзора), принятому в пределах установленных полномочий (для товаров, сведения об обороте которых подаются в информационную систему мониторинга не в отношении отдельной единицы товара), при этом актуализация такой базы данных в части обновленных данных осуществляется не реже одного раза в 2 часа в рабочие часы торгового объекта Лицензиата путем обращения в информационную систему мониторинга в автоматизированном режиме в соответствии с </w:t>
      </w:r>
      <w:r>
        <w:rPr>
          <w:sz w:val="24"/>
        </w:rPr>
        <w:t xml:space="preserve">подпунктом "а" пункта 10</w:t>
      </w:r>
      <w:r>
        <w:rPr>
          <w:sz w:val="24"/>
        </w:rPr>
        <w:t xml:space="preserve">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 утвержденных постановлением Правительства Российской Федерации от 21 ноября 2023 г. N 1944, осуществлять обмен сведениями и (или) электронными документами с информационной системой мониторинга, в части, касающейся определения случаев запрета продажи товаров;</w:t>
      </w:r>
    </w:p>
    <w:p>
      <w:pPr>
        <w:pStyle w:val="0"/>
        <w:spacing w:before="240"/>
        <w:ind w:firstLine="540"/>
        <w:jc w:val="both"/>
      </w:pPr>
      <w:r>
        <w:rPr>
          <w:sz w:val="24"/>
        </w:rPr>
        <w:t xml:space="preserve">б) обращаться к Лицензиару в соответствии с правилами технической поддержки за технической поддержкой пользователей программы для ЭВМ;</w:t>
      </w:r>
    </w:p>
    <w:p>
      <w:pPr>
        <w:pStyle w:val="0"/>
        <w:spacing w:before="240"/>
        <w:ind w:firstLine="540"/>
        <w:jc w:val="both"/>
      </w:pPr>
      <w:r>
        <w:rPr>
          <w:sz w:val="24"/>
        </w:rPr>
        <w:t xml:space="preserve">в) отказаться от Лицензии путем направления в соответствии с </w:t>
      </w:r>
      <w:hyperlink w:tooltip="2.8.1. Лицензиат направляет уведомления и документы Лицензиару посредством сайта https://support.crpt.ru в информационно-телекоммуникационной сети &quot;Интернет&quot;." w:anchor="P85" w:history="0">
        <w:r>
          <w:rPr>
            <w:color w:val="0000ff"/>
            <w:sz w:val="24"/>
          </w:rPr>
          <w:t xml:space="preserve">подпунктом 2.8.1 пункта 2.8</w:t>
        </w:r>
      </w:hyperlink>
      <w:r>
        <w:rPr>
          <w:sz w:val="24"/>
        </w:rPr>
        <w:t xml:space="preserve"> Лицензии уведомления Лицензиару об отказе от Лицензии, с момента получения которого предоставленное в соответствии с </w:t>
      </w:r>
      <w:hyperlink w:tooltip="1.1. Лицензиар предоставляет Лицензиату право использования программы для ЭВМ на условиях простой (неисключительной) лицензии, включая воспроизведение программы для ЭВМ, инсталляцию и запуск программы для ЭВМ, хранение в памяти ЭВМ и (или) серверов, копирование, активацию программы для ЭВМ, обновление и использование актуальных версий программы для ЭВМ, использование программы для ЭВМ в составе иных программ для ЭВМ, с учетом требований гражданского законодательства Российской Федерации." w:anchor="P51" w:history="0">
        <w:r>
          <w:rPr>
            <w:color w:val="0000ff"/>
            <w:sz w:val="24"/>
          </w:rPr>
          <w:t xml:space="preserve">пунктом 1.1</w:t>
        </w:r>
      </w:hyperlink>
      <w:r>
        <w:rPr>
          <w:sz w:val="24"/>
        </w:rPr>
        <w:t xml:space="preserve"> Лицензии право использования программы для ЭВМ прекращается;</w:t>
      </w:r>
    </w:p>
    <w:p>
      <w:pPr>
        <w:pStyle w:val="0"/>
        <w:spacing w:before="240"/>
        <w:ind w:firstLine="540"/>
        <w:jc w:val="both"/>
      </w:pPr>
      <w:r>
        <w:rPr>
          <w:sz w:val="24"/>
        </w:rPr>
        <w:t xml:space="preserve">г) использовать программу для ЭВМ, в том числе при заключении сублицензионного договора на условиях, указанных в </w:t>
      </w:r>
      <w:hyperlink w:tooltip="а) заключать сублицензионные договоры с лицами, которым Лицензиат поручил осуществлять от своего имени действия, связанные с формированием и актуализацией баз данных кодов товаров и (или) кодов идентификации в отношении товаров, оборот которых запрещен или приостановлен по решению органов государственного контроля (надзора), принятому в пределах установленных полномочий (для товаров, сведения об обороте которых подаются в информационную систему мониторинга не в отношении отдельной единицы товара), при эт..." w:anchor="P76" w:history="0">
        <w:r>
          <w:rPr>
            <w:color w:val="0000ff"/>
            <w:sz w:val="24"/>
          </w:rPr>
          <w:t xml:space="preserve">подпункте "а" пункта 2.6</w:t>
        </w:r>
      </w:hyperlink>
      <w:r>
        <w:rPr>
          <w:sz w:val="24"/>
        </w:rPr>
        <w:t xml:space="preserve"> Лицензии.</w:t>
      </w:r>
    </w:p>
    <w:p>
      <w:pPr>
        <w:pStyle w:val="0"/>
        <w:spacing w:before="240"/>
        <w:ind w:firstLine="540"/>
        <w:jc w:val="both"/>
      </w:pPr>
      <w:r>
        <w:rPr>
          <w:sz w:val="24"/>
        </w:rPr>
        <w:t xml:space="preserve">2.7. Лицензиат не вправе:</w:t>
      </w:r>
    </w:p>
    <w:p>
      <w:pPr>
        <w:pStyle w:val="0"/>
        <w:spacing w:before="240"/>
        <w:ind w:firstLine="540"/>
        <w:jc w:val="both"/>
      </w:pPr>
      <w:r>
        <w:rPr>
          <w:sz w:val="24"/>
        </w:rPr>
        <w:t xml:space="preserve">2.7.1. Использовать программу для ЭВМ, способами, не предусмотренными Лицензией;</w:t>
      </w:r>
    </w:p>
    <w:p>
      <w:pPr>
        <w:pStyle w:val="0"/>
        <w:spacing w:before="240"/>
        <w:ind w:firstLine="540"/>
        <w:jc w:val="both"/>
      </w:pPr>
      <w:r>
        <w:rPr>
          <w:sz w:val="24"/>
        </w:rPr>
        <w:t xml:space="preserve">2.7.2. Перерабатывать и модифицировать программу для ЭВМ или отдельные ее части;</w:t>
      </w:r>
    </w:p>
    <w:p>
      <w:pPr>
        <w:pStyle w:val="0"/>
        <w:spacing w:before="240"/>
        <w:ind w:firstLine="540"/>
        <w:jc w:val="both"/>
      </w:pPr>
      <w:r>
        <w:rPr>
          <w:sz w:val="24"/>
        </w:rPr>
        <w:t xml:space="preserve">2.7.3. Предоставлять права на программу для ЭВМ по сублицензионному договору и (или) иным образом передавать, предоставлять или уступать лицензионные права на программу для ЭВМ третьим лицам, в том числе безвозмездно, за исключением случая, указанного в </w:t>
      </w:r>
      <w:hyperlink w:tooltip="а) заключать сублицензионные договоры с лицами, которым Лицензиат поручил осуществлять от своего имени действия, связанные с формированием и актуализацией баз данных кодов товаров и (или) кодов идентификации в отношении товаров, оборот которых запрещен или приостановлен по решению органов государственного контроля (надзора), принятому в пределах установленных полномочий (для товаров, сведения об обороте которых подаются в информационную систему мониторинга не в отношении отдельной единицы товара), при эт..." w:anchor="P76" w:history="0">
        <w:r>
          <w:rPr>
            <w:color w:val="0000ff"/>
            <w:sz w:val="24"/>
          </w:rPr>
          <w:t xml:space="preserve">подпункте "а" пункта 2.6</w:t>
        </w:r>
      </w:hyperlink>
      <w:r>
        <w:rPr>
          <w:sz w:val="24"/>
        </w:rPr>
        <w:t xml:space="preserve"> Лицензии.</w:t>
      </w:r>
    </w:p>
    <w:bookmarkStart w:id="84" w:name="P84"/>
    <w:bookmarkEnd w:id="84"/>
    <w:p>
      <w:pPr>
        <w:pStyle w:val="0"/>
        <w:spacing w:before="240"/>
        <w:ind w:firstLine="540"/>
        <w:jc w:val="both"/>
      </w:pPr>
      <w:r>
        <w:rPr>
          <w:sz w:val="24"/>
        </w:rPr>
        <w:t xml:space="preserve">2.8. При направлении Лицензиатом или Лицензиаром уведомлений и иных документов Стороны используют следующие способы:</w:t>
      </w:r>
    </w:p>
    <w:bookmarkStart w:id="85" w:name="P85"/>
    <w:bookmarkEnd w:id="85"/>
    <w:p>
      <w:pPr>
        <w:pStyle w:val="0"/>
        <w:spacing w:before="240"/>
        <w:ind w:firstLine="540"/>
        <w:jc w:val="both"/>
      </w:pPr>
      <w:r>
        <w:rPr>
          <w:sz w:val="24"/>
        </w:rPr>
        <w:t xml:space="preserve">2.8.1. Лицензиат направляет уведомления и документы Лицензиару посредством сайта </w:t>
      </w:r>
      <w:hyperlink r:id="rId14" w:history="0">
        <w:r>
          <w:rPr>
            <w:color w:val="0000ff"/>
            <w:sz w:val="24"/>
          </w:rPr>
          <w:t xml:space="preserve">https://support.crpt.ru</w:t>
        </w:r>
      </w:hyperlink>
      <w:r>
        <w:rPr>
          <w:sz w:val="24"/>
        </w:rPr>
        <w:t xml:space="preserve"> в информационно-телекоммуникационной сети "Интернет".</w:t>
      </w:r>
    </w:p>
    <w:p>
      <w:pPr>
        <w:pStyle w:val="0"/>
        <w:spacing w:before="240"/>
        <w:ind w:firstLine="540"/>
        <w:jc w:val="both"/>
      </w:pPr>
      <w:r>
        <w:rPr>
          <w:sz w:val="24"/>
        </w:rPr>
        <w:t xml:space="preserve">2.8.2. Лицензиар для направления уведомлений и иных документов использует официальный сайт Лицензиара или личный кабинет Лицензиата в информационной системе мониторинга, если документы либо уведомления касаются конкретного Лицензиата.</w:t>
      </w:r>
    </w:p>
    <w:p>
      <w:pPr>
        <w:pStyle w:val="0"/>
        <w:ind w:firstLine="540"/>
        <w:jc w:val="both"/>
      </w:pPr>
      <w:r>
        <w:rPr>
          <w:sz w:val="24"/>
        </w:rPr>
      </w:r>
    </w:p>
    <w:p>
      <w:pPr>
        <w:pStyle w:val="0"/>
        <w:jc w:val="center"/>
        <w:outlineLvl w:val="1"/>
      </w:pPr>
      <w:r>
        <w:rPr>
          <w:sz w:val="24"/>
        </w:rPr>
        <w:t xml:space="preserve">III. Ответственность Сторон, урегулирование споров</w:t>
      </w:r>
    </w:p>
    <w:p>
      <w:pPr>
        <w:pStyle w:val="0"/>
        <w:jc w:val="center"/>
      </w:pPr>
      <w:r>
        <w:rPr>
          <w:sz w:val="24"/>
        </w:rPr>
      </w:r>
    </w:p>
    <w:p>
      <w:pPr>
        <w:pStyle w:val="0"/>
        <w:ind w:firstLine="540"/>
        <w:jc w:val="both"/>
      </w:pPr>
      <w:r>
        <w:rPr>
          <w:sz w:val="24"/>
        </w:rPr>
        <w:t xml:space="preserve">3.1. За неисполнение или ненадлежащее исполнение своих обязательств по Лицензии Стороны несут ответственность в соответствии с законодательством Российской Федерации и Лицензией.</w:t>
      </w:r>
    </w:p>
    <w:p>
      <w:pPr>
        <w:pStyle w:val="0"/>
        <w:spacing w:before="240"/>
        <w:ind w:firstLine="540"/>
        <w:jc w:val="both"/>
      </w:pPr>
      <w:r>
        <w:rPr>
          <w:sz w:val="24"/>
        </w:rPr>
        <w:t xml:space="preserve">3.2. Все споры, связанные с заключением, толкованием, исполнением и расторжением Лицензии, будут разрешаться Сторонами путем переговоров.</w:t>
      </w:r>
    </w:p>
    <w:p>
      <w:pPr>
        <w:pStyle w:val="0"/>
        <w:spacing w:before="240"/>
        <w:ind w:firstLine="540"/>
        <w:jc w:val="both"/>
      </w:pPr>
      <w:r>
        <w:rPr>
          <w:sz w:val="24"/>
        </w:rPr>
        <w:t xml:space="preserve">3.3. Любая из Сторон вправе направить претензию одним из способов, указанных в </w:t>
      </w:r>
      <w:hyperlink w:tooltip="2.8. При направлении Лицензиатом или Лицензиаром уведомлений и иных документов Стороны используют следующие способы:" w:anchor="P84" w:history="0">
        <w:r>
          <w:rPr>
            <w:color w:val="0000ff"/>
            <w:sz w:val="24"/>
          </w:rPr>
          <w:t xml:space="preserve">пункте 2.8</w:t>
        </w:r>
      </w:hyperlink>
      <w:r>
        <w:rPr>
          <w:sz w:val="24"/>
        </w:rPr>
        <w:t xml:space="preserve"> Лицензии.</w:t>
      </w:r>
    </w:p>
    <w:p>
      <w:pPr>
        <w:pStyle w:val="0"/>
        <w:spacing w:before="240"/>
        <w:ind w:firstLine="540"/>
        <w:jc w:val="both"/>
      </w:pPr>
      <w:r>
        <w:rPr>
          <w:sz w:val="24"/>
        </w:rPr>
        <w:t xml:space="preserve">К претензии должны прилагаться документы, обосновывающие предъявленные заинтересованной Стороной требования, включая документы, подтверждающие размер понесенных убытков, а также документы, подтверждающие полномочия подписавшего претензию лица. Указанные документы представляются в форме оригиналов или копий, заверенных Стороной. Документы, направляемые в электронной форме, должны быть подписаны усиленной квалифицированной электронной подписью Стороны или ее представителя (при наличии).</w:t>
      </w:r>
    </w:p>
    <w:p>
      <w:pPr>
        <w:pStyle w:val="0"/>
        <w:spacing w:before="240"/>
        <w:ind w:firstLine="540"/>
        <w:jc w:val="both"/>
      </w:pPr>
      <w:r>
        <w:rPr>
          <w:sz w:val="24"/>
        </w:rPr>
        <w:t xml:space="preserve">3.4. Срок рассмотрения претензии - не более 15 (пятнадцати) рабочих дней со дня получения претензии одной из Сторон.</w:t>
      </w:r>
    </w:p>
    <w:p>
      <w:pPr>
        <w:pStyle w:val="0"/>
        <w:spacing w:before="240"/>
        <w:ind w:firstLine="540"/>
        <w:jc w:val="both"/>
      </w:pPr>
      <w:r>
        <w:rPr>
          <w:sz w:val="24"/>
        </w:rPr>
        <w:t xml:space="preserve">3.5. В случае невозможности урегулирования спора (споров) Сторонами в досудебном порядке в течение 30 (тридцати) рабочих дней со дня получения одной из Сторон претензии спор (споры) подлежит (подлежат) рассмотрению в судебном порядке в соответствии с законодательством Российской Федерации.</w:t>
      </w:r>
    </w:p>
    <w:p>
      <w:pPr>
        <w:pStyle w:val="0"/>
        <w:jc w:val="center"/>
      </w:pPr>
      <w:r>
        <w:rPr>
          <w:sz w:val="24"/>
        </w:rPr>
      </w:r>
    </w:p>
    <w:p>
      <w:pPr>
        <w:pStyle w:val="0"/>
        <w:jc w:val="center"/>
        <w:outlineLvl w:val="1"/>
      </w:pPr>
      <w:r>
        <w:rPr>
          <w:sz w:val="24"/>
        </w:rPr>
        <w:t xml:space="preserve">IV. Срок действия</w:t>
      </w:r>
    </w:p>
    <w:p>
      <w:pPr>
        <w:pStyle w:val="0"/>
        <w:jc w:val="center"/>
      </w:pPr>
      <w:r>
        <w:rPr>
          <w:sz w:val="24"/>
        </w:rPr>
      </w:r>
    </w:p>
    <w:p>
      <w:pPr>
        <w:pStyle w:val="0"/>
        <w:ind w:firstLine="540"/>
        <w:jc w:val="both"/>
      </w:pPr>
      <w:r>
        <w:rPr>
          <w:sz w:val="24"/>
        </w:rPr>
        <w:t xml:space="preserve">4.1. Настоящий лицензионный договор считается заключенным со дня начала использования Лицензиатом программы для ЭВМ.</w:t>
      </w:r>
    </w:p>
    <w:bookmarkStart w:id="100" w:name="P100"/>
    <w:bookmarkEnd w:id="100"/>
    <w:p>
      <w:pPr>
        <w:pStyle w:val="0"/>
        <w:spacing w:before="240"/>
        <w:ind w:firstLine="540"/>
        <w:jc w:val="both"/>
      </w:pPr>
      <w:r>
        <w:rPr>
          <w:sz w:val="24"/>
        </w:rPr>
        <w:t xml:space="preserve">4.2. Лицензия предоставляется на срок действия исключительного права на программу для ЭВМ.</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Минпромторга России от 03.02.2025 N 449</w:t>
            <w:br/>
            <w:t xml:space="preserve">"Об утверждении типовой формы безвозмездной открытой лицензии по предоста...</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25.08.2025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Минпромторга России от 03.02.2025 N 449</w:t>
            <w:br/>
            <w:t xml:space="preserve">"Об утверждении типовой формы безвозмездной открытой лицензии по предоста...</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25.08.2025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 Id="rId13" Type="http://schemas.openxmlformats.org/officeDocument/2006/relationships/hyperlink" Target="https://&#1095;&#1077;&#1089;&#1090;&#1085;&#1099;&#1081;&#1079;&#1085;&#1072;&#1082;.&#1088;&#1092;" TargetMode="External"/><Relationship Id="rId14" Type="http://schemas.openxmlformats.org/officeDocument/2006/relationships/hyperlink" Target="https://support.crp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Р7-Офис/2024.4.1.630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Минпромторга России от 03.02.2025 N 449
"Об утверждении типовой формы безвозмездной открытой лицензии по предоставлению программного обеспечения, за исключением работ по его установке и настройке, осуществляемому оператором государственной информационной системы мониторинга за оборотом товаров, подлежащих обязательной маркировке средствами идентификации"
(Зарегистрировано в Минюсте России 30.07.2025 N 83095)</dc:title>
  <cp:lastModifiedBy>economy11</cp:lastModifiedBy>
  <dcterms:created xsi:type="dcterms:W3CDTF">2025-08-25T12:42:05Z</dcterms:created>
</cp:coreProperties>
</file>