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5E3" w:rsidRDefault="00DC5F29">
      <w:pPr>
        <w:pStyle w:val="af9"/>
        <w:spacing w:after="0" w:line="240" w:lineRule="auto"/>
        <w:ind w:left="1069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О подготовке кадров в образовательных организациях Чувашской Республики; целевое обучение – гарантия трудоустройства</w:t>
      </w:r>
    </w:p>
    <w:p w:rsidR="00B615E3" w:rsidRDefault="00B615E3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</w:p>
    <w:p w:rsidR="00B615E3" w:rsidRDefault="00DC5F29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>Слайд 2</w:t>
      </w:r>
    </w:p>
    <w:p w:rsidR="00B615E3" w:rsidRDefault="00B615E3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</w:p>
    <w:p w:rsidR="00B615E3" w:rsidRDefault="00DC5F29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Система среднего профессионального образования (СПО) Чувашской Республики играет ключевую роль в обеспечении экономики региона квалифицированными кадрами. В условиях динамично меняющегося рынка труда и реализации национальных проектов, актуальность эффекти</w:t>
      </w: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вного функционирования и развития системы СПО возрастает многократно.</w:t>
      </w:r>
    </w:p>
    <w:p w:rsidR="00B615E3" w:rsidRDefault="00DC5F29">
      <w:pPr>
        <w:pStyle w:val="af8"/>
        <w:ind w:firstLine="709"/>
        <w:jc w:val="both"/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Всего в систему СПО в республике входят</w:t>
      </w: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 xml:space="preserve"> 17 техникумов и колледжей</w:t>
      </w: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t xml:space="preserve">, из них 11 техникумов и колледжей, подведомственных Минобразования Чувашии, 2 – Минкультуры Чувашии, </w:t>
      </w: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br/>
        <w:t>1 – Минспорта Чува</w:t>
      </w: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t xml:space="preserve">шии, 1 – Минздрава Чувашии, 2 – частные образовательные организации </w:t>
      </w:r>
      <w:r>
        <w:rPr>
          <w:rFonts w:ascii="Arial" w:eastAsia="Times New Roman" w:hAnsi="Arial" w:cs="Arial"/>
          <w:bCs/>
          <w:i/>
          <w:color w:val="000000" w:themeColor="text1"/>
          <w:sz w:val="26"/>
          <w:szCs w:val="26"/>
          <w:lang w:eastAsia="ru-RU"/>
        </w:rPr>
        <w:t>(Кооперативный техникум и Академия технологии и управления)</w:t>
      </w: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>8 вузов, реализующих программы СПО.</w:t>
      </w:r>
    </w:p>
    <w:p w:rsidR="00B615E3" w:rsidRDefault="00DC5F29">
      <w:pPr>
        <w:pStyle w:val="af8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 xml:space="preserve">Всего обучается </w:t>
      </w: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 xml:space="preserve">34205 студентов. </w:t>
      </w: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t xml:space="preserve">Обучение ведется по </w:t>
      </w: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>37 профессиям</w:t>
      </w: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t xml:space="preserve"> и </w:t>
      </w: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>118 специальностям</w:t>
      </w: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t>.</w:t>
      </w:r>
    </w:p>
    <w:p w:rsidR="00B615E3" w:rsidRDefault="00B615E3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</w:p>
    <w:p w:rsidR="00B615E3" w:rsidRDefault="00DC5F29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>Сл</w:t>
      </w: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>айд 3</w:t>
      </w:r>
    </w:p>
    <w:p w:rsidR="00B615E3" w:rsidRDefault="00B615E3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</w:p>
    <w:p w:rsidR="00B615E3" w:rsidRDefault="00DC5F29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>60%</w:t>
      </w: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t xml:space="preserve"> выпускников 9 классов общеобразовательных организаций республики в текущем году поступили на обучение в техникумы и колледжи на программы СПО (</w:t>
      </w:r>
      <w:r>
        <w:rPr>
          <w:rFonts w:ascii="Arial" w:eastAsia="Times New Roman" w:hAnsi="Arial" w:cs="Arial"/>
          <w:bCs/>
          <w:i/>
          <w:iCs/>
          <w:color w:val="000000" w:themeColor="text1"/>
          <w:sz w:val="26"/>
          <w:szCs w:val="26"/>
          <w:lang w:eastAsia="ru-RU"/>
        </w:rPr>
        <w:t>в 2024 году – 58,6%, в 2023 году – 57,8%</w:t>
      </w: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t>).</w:t>
      </w:r>
    </w:p>
    <w:p w:rsidR="00B615E3" w:rsidRDefault="00DC5F29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В техникумах и колледжах республики на 2026/2027 учебный год </w:t>
      </w:r>
      <w:r>
        <w:rPr>
          <w:rFonts w:ascii="Arial" w:eastAsia="Arial" w:hAnsi="Arial" w:cs="Arial"/>
          <w:b/>
          <w:bCs/>
          <w:sz w:val="26"/>
          <w:szCs w:val="26"/>
        </w:rPr>
        <w:t>выделено 7061 бюджетное мест</w:t>
      </w:r>
      <w:r>
        <w:rPr>
          <w:rFonts w:ascii="Arial" w:eastAsia="Arial" w:hAnsi="Arial" w:cs="Arial"/>
          <w:sz w:val="26"/>
          <w:szCs w:val="26"/>
        </w:rPr>
        <w:t>о (</w:t>
      </w:r>
      <w:r>
        <w:rPr>
          <w:rFonts w:ascii="Arial" w:eastAsia="Arial" w:hAnsi="Arial" w:cs="Arial"/>
          <w:i/>
          <w:iCs/>
          <w:sz w:val="26"/>
          <w:szCs w:val="26"/>
        </w:rPr>
        <w:t>в 2025 году - 6826, в 2024 году – 6426, в 2023 году – 7046</w:t>
      </w:r>
      <w:r>
        <w:rPr>
          <w:rFonts w:ascii="Arial" w:eastAsia="Arial" w:hAnsi="Arial" w:cs="Arial"/>
          <w:sz w:val="26"/>
          <w:szCs w:val="26"/>
        </w:rPr>
        <w:t>) за счет республиканского бюджета.</w:t>
      </w:r>
    </w:p>
    <w:p w:rsidR="00B615E3" w:rsidRDefault="00DC5F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На 2026/2027 учебный год по программам среднего профессионального обра</w:t>
      </w:r>
      <w:r>
        <w:rPr>
          <w:sz w:val="26"/>
          <w:szCs w:val="26"/>
          <w:highlight w:val="white"/>
        </w:rPr>
        <w:t>зования по профессиям предусмотрено 2200 бюджетных мест, что на 75 единиц больше, чем в 2025 году (2125 ед.) и на 125 ед. больше чем в 2024 году. По специальностям предусмотрено 4400 ед. по сравнению с 2025 годом (4250) бюджетные места увеличены на 150 ед,</w:t>
      </w:r>
      <w:r>
        <w:rPr>
          <w:sz w:val="26"/>
          <w:szCs w:val="26"/>
          <w:highlight w:val="white"/>
        </w:rPr>
        <w:t xml:space="preserve"> а в отношении 2024 года (3900) на 500 ед.</w:t>
      </w:r>
    </w:p>
    <w:p w:rsidR="00B615E3" w:rsidRDefault="00B615E3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highlight w:val="white"/>
        </w:rPr>
      </w:pPr>
    </w:p>
    <w:p w:rsidR="00B615E3" w:rsidRDefault="00DC5F29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>Слайд 4</w:t>
      </w:r>
    </w:p>
    <w:p w:rsidR="00B615E3" w:rsidRDefault="00B615E3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highlight w:val="white"/>
        </w:rPr>
      </w:pPr>
    </w:p>
    <w:p w:rsidR="00B615E3" w:rsidRDefault="00DC5F29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 xml:space="preserve">Процесс планирования контрольных цифр приема на бюджетные места в том числе связан с потребностью реального сектора экономики. Так, в 2025/2026 учебном году сократили КЦП на бюджетные места по следующим </w:t>
      </w: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направлениям: экономика и управление, сфера услуг. Увеличили прием по востребованным направлениям: электроэнергетика и машиностроение, сельское хозяйство, IT-отрасль.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t xml:space="preserve">Конкурс на программы среднего профессионального образования в этом году в среднем составляет </w:t>
      </w: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>4,1 чел</w:t>
      </w: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t>. на 1 бюджетное место (</w:t>
      </w:r>
      <w:r>
        <w:rPr>
          <w:rFonts w:ascii="Arial" w:eastAsia="Times New Roman" w:hAnsi="Arial" w:cs="Arial"/>
          <w:bCs/>
          <w:i/>
          <w:iCs/>
          <w:color w:val="000000" w:themeColor="text1"/>
          <w:sz w:val="26"/>
          <w:szCs w:val="26"/>
          <w:lang w:eastAsia="ru-RU"/>
        </w:rPr>
        <w:t>в 2024 г. – 3,4</w:t>
      </w:r>
      <w:r>
        <w:rPr>
          <w:rFonts w:ascii="Arial" w:eastAsia="Times New Roman" w:hAnsi="Arial" w:cs="Arial"/>
          <w:bCs/>
          <w:color w:val="000000" w:themeColor="text1"/>
          <w:sz w:val="26"/>
          <w:szCs w:val="26"/>
          <w:lang w:eastAsia="ru-RU"/>
        </w:rPr>
        <w:t>).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Средний балл аттестата поступающих в 2025 году составляет 4,1 баллов (</w:t>
      </w:r>
      <w:r>
        <w:rPr>
          <w:rFonts w:ascii="Arial" w:eastAsia="Arial" w:hAnsi="Arial" w:cs="Arial"/>
          <w:i/>
          <w:iCs/>
          <w:sz w:val="26"/>
          <w:szCs w:val="26"/>
        </w:rPr>
        <w:t>в 2024 - 4,3, в 2023 г. - 4,4</w:t>
      </w:r>
      <w:r>
        <w:rPr>
          <w:rFonts w:ascii="Arial" w:eastAsia="Arial" w:hAnsi="Arial" w:cs="Arial"/>
          <w:sz w:val="26"/>
          <w:szCs w:val="26"/>
        </w:rPr>
        <w:t>).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i/>
          <w:iCs/>
          <w:sz w:val="26"/>
          <w:szCs w:val="26"/>
        </w:rPr>
      </w:pPr>
      <w:r>
        <w:rPr>
          <w:rFonts w:ascii="Arial" w:eastAsia="Arial" w:hAnsi="Arial" w:cs="Arial"/>
          <w:i/>
          <w:iCs/>
          <w:sz w:val="26"/>
          <w:szCs w:val="26"/>
          <w:u w:val="single"/>
        </w:rPr>
        <w:t>Наиболее вос</w:t>
      </w:r>
      <w:r>
        <w:rPr>
          <w:rFonts w:ascii="Arial" w:eastAsia="Arial" w:hAnsi="Arial" w:cs="Arial"/>
          <w:i/>
          <w:iCs/>
          <w:sz w:val="26"/>
          <w:szCs w:val="26"/>
          <w:u w:val="single"/>
        </w:rPr>
        <w:t>требованные направления подготовки: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i/>
          <w:iCs/>
          <w:sz w:val="26"/>
          <w:szCs w:val="26"/>
        </w:rPr>
      </w:pPr>
      <w:r>
        <w:rPr>
          <w:rFonts w:ascii="Arial" w:eastAsia="Arial" w:hAnsi="Arial" w:cs="Arial"/>
          <w:i/>
          <w:iCs/>
          <w:sz w:val="26"/>
          <w:szCs w:val="26"/>
          <w:u w:val="single"/>
        </w:rPr>
        <w:lastRenderedPageBreak/>
        <w:t>специальности СПО:</w:t>
      </w:r>
      <w:r>
        <w:rPr>
          <w:rFonts w:ascii="Arial" w:eastAsia="Arial" w:hAnsi="Arial" w:cs="Arial"/>
          <w:i/>
          <w:iCs/>
          <w:sz w:val="26"/>
          <w:szCs w:val="26"/>
        </w:rPr>
        <w:t xml:space="preserve"> правоохранительная деятельность, пожарная безопасность, IT-специальности, медицинские специальности, фармация, строительные специальности, электротехнические специальности, дошкольное образование и пре</w:t>
      </w:r>
      <w:r>
        <w:rPr>
          <w:rFonts w:ascii="Arial" w:eastAsia="Arial" w:hAnsi="Arial" w:cs="Arial"/>
          <w:i/>
          <w:iCs/>
          <w:sz w:val="26"/>
          <w:szCs w:val="26"/>
        </w:rPr>
        <w:t>подавание в начальных классах, экономика и бухгалтерский учет, банковское дело и др.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i/>
          <w:iCs/>
          <w:sz w:val="26"/>
          <w:szCs w:val="26"/>
        </w:rPr>
      </w:pPr>
      <w:r>
        <w:rPr>
          <w:rFonts w:ascii="Arial" w:eastAsia="Arial" w:hAnsi="Arial" w:cs="Arial"/>
          <w:i/>
          <w:iCs/>
          <w:sz w:val="26"/>
          <w:szCs w:val="26"/>
          <w:u w:val="single"/>
        </w:rPr>
        <w:t xml:space="preserve">рабочие профессии </w:t>
      </w:r>
      <w:r>
        <w:rPr>
          <w:rFonts w:ascii="Arial" w:eastAsia="Arial" w:hAnsi="Arial" w:cs="Arial"/>
          <w:i/>
          <w:iCs/>
          <w:sz w:val="26"/>
          <w:szCs w:val="26"/>
        </w:rPr>
        <w:t>– электромонтер, сварщик, дефектоскопист, мастер по цифровой обработке информации, мастер по ремонту и обслуживанию автомобилей, машинист крана, повар, к</w:t>
      </w:r>
      <w:r>
        <w:rPr>
          <w:rFonts w:ascii="Arial" w:eastAsia="Arial" w:hAnsi="Arial" w:cs="Arial"/>
          <w:i/>
          <w:iCs/>
          <w:sz w:val="26"/>
          <w:szCs w:val="26"/>
        </w:rPr>
        <w:t>ондитер, графический дизайнер, мастер отделочных строительных и декоративных работ и др.</w:t>
      </w:r>
    </w:p>
    <w:p w:rsidR="00B615E3" w:rsidRDefault="00B615E3">
      <w:pPr>
        <w:spacing w:after="0" w:line="240" w:lineRule="auto"/>
        <w:ind w:firstLine="851"/>
        <w:jc w:val="both"/>
        <w:rPr>
          <w:rFonts w:ascii="Arial" w:hAnsi="Arial" w:cs="Arial"/>
          <w:bCs/>
          <w:i/>
          <w:sz w:val="26"/>
          <w:szCs w:val="26"/>
        </w:rPr>
      </w:pPr>
    </w:p>
    <w:p w:rsidR="00B615E3" w:rsidRDefault="00DC5F29">
      <w:pPr>
        <w:pStyle w:val="af8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>Слайд 5</w:t>
      </w:r>
    </w:p>
    <w:p w:rsidR="00B615E3" w:rsidRDefault="00B615E3">
      <w:pPr>
        <w:spacing w:after="0" w:line="240" w:lineRule="auto"/>
        <w:ind w:firstLine="851"/>
        <w:jc w:val="both"/>
        <w:rPr>
          <w:rFonts w:ascii="Arial" w:eastAsia="Arial" w:hAnsi="Arial" w:cs="Arial"/>
          <w:sz w:val="26"/>
          <w:szCs w:val="26"/>
        </w:rPr>
      </w:pPr>
    </w:p>
    <w:p w:rsidR="00B615E3" w:rsidRDefault="00DC5F29">
      <w:pPr>
        <w:spacing w:after="0" w:line="240" w:lineRule="auto"/>
        <w:ind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Флагманом позитивных изменений в системе среднего профессионального образования стал федеральный проект «Профессионалитет».</w:t>
      </w:r>
    </w:p>
    <w:p w:rsidR="00B615E3" w:rsidRDefault="00DC5F29">
      <w:pPr>
        <w:spacing w:after="0" w:line="240" w:lineRule="auto"/>
        <w:ind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За 2022-2025 гг у нас создано 9 кластеров, открыты более 60 новых мастерских и лабораторий, 54 профессии и специальности, обучаются более 2500 студентов по программам ФП «Профессионалитет».</w:t>
      </w:r>
    </w:p>
    <w:p w:rsidR="00B615E3" w:rsidRDefault="00DC5F29">
      <w:pPr>
        <w:spacing w:after="0" w:line="240" w:lineRule="auto"/>
        <w:ind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Растущий интерес молодежи к обучению в колледжах – это распростран</w:t>
      </w:r>
      <w:r>
        <w:rPr>
          <w:rFonts w:ascii="Arial" w:eastAsia="Arial" w:hAnsi="Arial" w:cs="Arial"/>
          <w:sz w:val="26"/>
          <w:szCs w:val="26"/>
        </w:rPr>
        <w:t xml:space="preserve">ение отраслевой модели подготовки кадров. </w:t>
      </w:r>
      <w:r>
        <w:rPr>
          <w:rFonts w:ascii="Arial" w:eastAsia="Arial" w:hAnsi="Arial" w:cs="Arial"/>
          <w:sz w:val="26"/>
          <w:szCs w:val="26"/>
        </w:rPr>
        <w:br/>
        <w:t>В ФП «Профессионалитет» в рамках соглашения о партнерстве включены более 80 предприятий и организаций реального сектора экономики республики. Из выпускников проекта Профессионалитет 2025 года (</w:t>
      </w:r>
      <w:r>
        <w:rPr>
          <w:rFonts w:ascii="Arial" w:eastAsia="Arial" w:hAnsi="Arial" w:cs="Arial"/>
          <w:i/>
          <w:iCs/>
          <w:sz w:val="26"/>
          <w:szCs w:val="26"/>
        </w:rPr>
        <w:t>640 чел.</w:t>
      </w:r>
      <w:r>
        <w:rPr>
          <w:rFonts w:ascii="Arial" w:eastAsia="Arial" w:hAnsi="Arial" w:cs="Arial"/>
          <w:sz w:val="26"/>
          <w:szCs w:val="26"/>
        </w:rPr>
        <w:t>) 85% выпуск</w:t>
      </w:r>
      <w:r>
        <w:rPr>
          <w:rFonts w:ascii="Arial" w:eastAsia="Arial" w:hAnsi="Arial" w:cs="Arial"/>
          <w:sz w:val="26"/>
          <w:szCs w:val="26"/>
        </w:rPr>
        <w:t xml:space="preserve">ников трудоустроены по полученной профессии на предприятиях партнеров проекта. </w:t>
      </w:r>
    </w:p>
    <w:p w:rsidR="00B615E3" w:rsidRDefault="00DC5F29">
      <w:pPr>
        <w:spacing w:after="0" w:line="240" w:lineRule="auto"/>
        <w:ind w:firstLine="709"/>
        <w:jc w:val="both"/>
        <w:rPr>
          <w:rFonts w:ascii="Arial" w:eastAsia="Arial" w:hAnsi="Arial" w:cs="Arial"/>
          <w:bCs/>
          <w:i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Выпуск студентов СПО в 2025 году составил 9171 чел. </w:t>
      </w:r>
      <w:r>
        <w:rPr>
          <w:rFonts w:ascii="Arial" w:eastAsia="Arial" w:hAnsi="Arial" w:cs="Arial"/>
          <w:i/>
          <w:iCs/>
          <w:sz w:val="26"/>
          <w:szCs w:val="26"/>
        </w:rPr>
        <w:t>(2024 г.- 7887 чел., 2023 г. - 7651 чел.)</w:t>
      </w:r>
    </w:p>
    <w:p w:rsidR="00B615E3" w:rsidRDefault="00DC5F29">
      <w:pPr>
        <w:spacing w:after="0" w:line="240" w:lineRule="auto"/>
        <w:ind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  <w:lang w:eastAsia="ru-RU"/>
        </w:rPr>
        <w:t>Из выпускников проекта «Профессионалитет» 85% выпускников трудоустроены по получен</w:t>
      </w:r>
      <w:r>
        <w:rPr>
          <w:rFonts w:ascii="Arial" w:eastAsia="Arial" w:hAnsi="Arial" w:cs="Arial"/>
          <w:sz w:val="26"/>
          <w:szCs w:val="26"/>
          <w:lang w:eastAsia="ru-RU"/>
        </w:rPr>
        <w:t>ной профессии на предприятиях партнеров проекта (</w:t>
      </w:r>
      <w:r>
        <w:rPr>
          <w:rFonts w:ascii="Arial" w:eastAsia="Arial" w:hAnsi="Arial" w:cs="Arial"/>
          <w:i/>
          <w:iCs/>
          <w:sz w:val="26"/>
          <w:szCs w:val="26"/>
          <w:lang w:eastAsia="ru-RU"/>
        </w:rPr>
        <w:t>2024/2025 гг. 640 чел.</w:t>
      </w:r>
      <w:r>
        <w:rPr>
          <w:rFonts w:ascii="Arial" w:eastAsia="Arial" w:hAnsi="Arial" w:cs="Arial"/>
          <w:sz w:val="26"/>
          <w:szCs w:val="26"/>
          <w:lang w:eastAsia="ru-RU"/>
        </w:rPr>
        <w:t>). Процент трудоустройства выпускников в целом по программам СПО за 5 лет имеет позитивную динамику. С 2021 года увеличился на 40% (</w:t>
      </w:r>
      <w:r>
        <w:rPr>
          <w:rFonts w:ascii="Arial" w:eastAsia="Arial" w:hAnsi="Arial" w:cs="Arial"/>
          <w:i/>
          <w:iCs/>
          <w:sz w:val="26"/>
          <w:szCs w:val="26"/>
          <w:lang w:eastAsia="ru-RU"/>
        </w:rPr>
        <w:t>в 2025 году - 69%, в 2024 - 62%, в 2023 - 59%, в 2022</w:t>
      </w:r>
      <w:r>
        <w:rPr>
          <w:rFonts w:ascii="Arial" w:eastAsia="Arial" w:hAnsi="Arial" w:cs="Arial"/>
          <w:i/>
          <w:iCs/>
          <w:sz w:val="26"/>
          <w:szCs w:val="26"/>
          <w:lang w:eastAsia="ru-RU"/>
        </w:rPr>
        <w:t xml:space="preserve"> - 53%, в 2021 - 50%</w:t>
      </w:r>
      <w:r>
        <w:rPr>
          <w:rFonts w:ascii="Arial" w:eastAsia="Arial" w:hAnsi="Arial" w:cs="Arial"/>
          <w:sz w:val="26"/>
          <w:szCs w:val="26"/>
          <w:lang w:eastAsia="ru-RU"/>
        </w:rPr>
        <w:t>)</w:t>
      </w:r>
    </w:p>
    <w:p w:rsidR="00B615E3" w:rsidRDefault="00B615E3">
      <w:pPr>
        <w:spacing w:after="0" w:line="240" w:lineRule="auto"/>
        <w:ind w:firstLine="709"/>
        <w:jc w:val="both"/>
        <w:rPr>
          <w:rFonts w:ascii="Arial" w:eastAsia="Arial" w:hAnsi="Arial" w:cs="Arial"/>
          <w:bCs/>
          <w:i/>
          <w:sz w:val="26"/>
          <w:szCs w:val="26"/>
        </w:rPr>
      </w:pPr>
    </w:p>
    <w:p w:rsidR="00B615E3" w:rsidRDefault="00DC5F29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Слайд 6</w:t>
      </w:r>
    </w:p>
    <w:p w:rsidR="00B615E3" w:rsidRDefault="00DC5F29">
      <w:pPr>
        <w:spacing w:after="0" w:line="240" w:lineRule="auto"/>
        <w:ind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На территории Чувашской Республики действует 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12 </w:t>
      </w:r>
      <w:r>
        <w:rPr>
          <w:rFonts w:ascii="Arial" w:eastAsia="Arial" w:hAnsi="Arial" w:cs="Arial"/>
          <w:sz w:val="26"/>
          <w:szCs w:val="26"/>
        </w:rPr>
        <w:t xml:space="preserve">вузов, в которых обучается </w:t>
      </w:r>
      <w:r>
        <w:rPr>
          <w:rFonts w:ascii="Arial" w:eastAsia="Arial" w:hAnsi="Arial" w:cs="Arial"/>
          <w:b/>
          <w:bCs/>
          <w:sz w:val="26"/>
          <w:szCs w:val="26"/>
        </w:rPr>
        <w:t>37 620</w:t>
      </w:r>
      <w:r>
        <w:rPr>
          <w:rFonts w:ascii="Arial" w:eastAsia="Arial" w:hAnsi="Arial" w:cs="Arial"/>
          <w:sz w:val="26"/>
          <w:szCs w:val="26"/>
        </w:rPr>
        <w:t xml:space="preserve"> чел. По </w:t>
      </w:r>
      <w:r>
        <w:rPr>
          <w:rFonts w:ascii="Arial" w:eastAsia="Arial" w:hAnsi="Arial" w:cs="Arial"/>
          <w:b/>
          <w:bCs/>
          <w:sz w:val="26"/>
          <w:szCs w:val="26"/>
        </w:rPr>
        <w:t>71</w:t>
      </w:r>
      <w:r>
        <w:rPr>
          <w:rFonts w:ascii="Arial" w:eastAsia="Arial" w:hAnsi="Arial" w:cs="Arial"/>
          <w:sz w:val="26"/>
          <w:szCs w:val="26"/>
        </w:rPr>
        <w:t xml:space="preserve"> программе бакалавриата, </w:t>
      </w:r>
      <w:r>
        <w:rPr>
          <w:rFonts w:ascii="Arial" w:eastAsia="Arial" w:hAnsi="Arial" w:cs="Arial"/>
          <w:b/>
          <w:bCs/>
          <w:sz w:val="26"/>
          <w:szCs w:val="26"/>
        </w:rPr>
        <w:t>21</w:t>
      </w:r>
      <w:r>
        <w:rPr>
          <w:rFonts w:ascii="Arial" w:eastAsia="Arial" w:hAnsi="Arial" w:cs="Arial"/>
          <w:sz w:val="26"/>
          <w:szCs w:val="26"/>
        </w:rPr>
        <w:t xml:space="preserve"> программе специалитета, </w:t>
      </w:r>
      <w:r>
        <w:rPr>
          <w:rFonts w:ascii="Arial" w:eastAsia="Arial" w:hAnsi="Arial" w:cs="Arial"/>
          <w:b/>
          <w:bCs/>
          <w:sz w:val="26"/>
          <w:szCs w:val="26"/>
        </w:rPr>
        <w:t>42</w:t>
      </w:r>
      <w:r>
        <w:rPr>
          <w:rFonts w:ascii="Arial" w:eastAsia="Arial" w:hAnsi="Arial" w:cs="Arial"/>
          <w:sz w:val="26"/>
          <w:szCs w:val="26"/>
        </w:rPr>
        <w:t xml:space="preserve"> программам магистратуры.</w:t>
      </w:r>
    </w:p>
    <w:p w:rsidR="00B615E3" w:rsidRDefault="00DC5F29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 xml:space="preserve">Вузам на 2026 год выделено 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3685</w:t>
      </w:r>
      <w:r>
        <w:rPr>
          <w:rFonts w:ascii="Arial" w:eastAsia="Arial" w:hAnsi="Arial" w:cs="Arial"/>
          <w:sz w:val="26"/>
          <w:szCs w:val="26"/>
          <w:highlight w:val="white"/>
        </w:rPr>
        <w:t xml:space="preserve"> бюджетных мест </w:t>
      </w:r>
      <w:r>
        <w:rPr>
          <w:rFonts w:ascii="Arial" w:eastAsia="Arial" w:hAnsi="Arial" w:cs="Arial"/>
          <w:i/>
          <w:sz w:val="26"/>
          <w:szCs w:val="26"/>
          <w:highlight w:val="white"/>
        </w:rPr>
        <w:t>(</w:t>
      </w:r>
      <w:r>
        <w:rPr>
          <w:rFonts w:ascii="Arial" w:eastAsia="Arial" w:hAnsi="Arial" w:cs="Arial"/>
          <w:i/>
          <w:iCs/>
          <w:sz w:val="26"/>
          <w:szCs w:val="26"/>
          <w:highlight w:val="white"/>
        </w:rPr>
        <w:t xml:space="preserve">на 2025 год – 3796, на 2024 год – </w:t>
      </w:r>
      <w:r>
        <w:rPr>
          <w:rFonts w:ascii="Arial" w:hAnsi="Arial" w:cs="Arial"/>
          <w:i/>
          <w:sz w:val="26"/>
          <w:szCs w:val="26"/>
          <w:highlight w:val="white"/>
        </w:rPr>
        <w:t>3694</w:t>
      </w:r>
      <w:r>
        <w:rPr>
          <w:rFonts w:ascii="Arial" w:eastAsia="Arial" w:hAnsi="Arial" w:cs="Arial"/>
          <w:i/>
          <w:iCs/>
          <w:sz w:val="26"/>
          <w:szCs w:val="26"/>
          <w:highlight w:val="white"/>
        </w:rPr>
        <w:t>).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highlight w:val="white"/>
        </w:rPr>
        <w:t xml:space="preserve">Поступаемость в вузы Чувашской Республики в 2025 году составила 56 % </w:t>
      </w:r>
      <w:r>
        <w:rPr>
          <w:rFonts w:ascii="Arial" w:hAnsi="Arial" w:cs="Arial"/>
          <w:sz w:val="26"/>
          <w:szCs w:val="26"/>
          <w:highlight w:val="white"/>
        </w:rPr>
        <w:t>(</w:t>
      </w:r>
      <w:r>
        <w:rPr>
          <w:rFonts w:ascii="Arial" w:hAnsi="Arial" w:cs="Arial"/>
          <w:i/>
          <w:iCs/>
          <w:sz w:val="26"/>
          <w:szCs w:val="26"/>
          <w:highlight w:val="white"/>
        </w:rPr>
        <w:t>в 2022 г. – 55, 7 %, в 2023 г. – 55, 6 %, в 2024 г. – 52 %</w:t>
      </w:r>
      <w:r>
        <w:rPr>
          <w:rFonts w:ascii="Arial" w:hAnsi="Arial" w:cs="Arial"/>
          <w:sz w:val="26"/>
          <w:szCs w:val="26"/>
          <w:highlight w:val="white"/>
        </w:rPr>
        <w:t>).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Наиболее популярными направлениям подготовки у абитуриентов являются: 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Стоматология</w:t>
      </w:r>
      <w:r>
        <w:rPr>
          <w:rFonts w:ascii="Arial" w:eastAsia="Arial" w:hAnsi="Arial" w:cs="Arial"/>
          <w:sz w:val="26"/>
          <w:szCs w:val="26"/>
        </w:rPr>
        <w:t>;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Лечебное дело</w:t>
      </w:r>
      <w:r>
        <w:rPr>
          <w:rFonts w:ascii="Arial" w:eastAsia="Arial" w:hAnsi="Arial" w:cs="Arial"/>
          <w:sz w:val="26"/>
          <w:szCs w:val="26"/>
        </w:rPr>
        <w:t>;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Педиатрия</w:t>
      </w:r>
      <w:r>
        <w:rPr>
          <w:rFonts w:ascii="Arial" w:eastAsia="Arial" w:hAnsi="Arial" w:cs="Arial"/>
          <w:sz w:val="26"/>
          <w:szCs w:val="26"/>
        </w:rPr>
        <w:t>;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lastRenderedPageBreak/>
        <w:t>Юриспруденция</w:t>
      </w:r>
      <w:r>
        <w:rPr>
          <w:rFonts w:ascii="Arial" w:eastAsia="Arial" w:hAnsi="Arial" w:cs="Arial"/>
          <w:sz w:val="26"/>
          <w:szCs w:val="26"/>
        </w:rPr>
        <w:t>;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Землеустройство и кадастры</w:t>
      </w:r>
      <w:r>
        <w:rPr>
          <w:rFonts w:ascii="Arial" w:eastAsia="Arial" w:hAnsi="Arial" w:cs="Arial"/>
          <w:sz w:val="26"/>
          <w:szCs w:val="26"/>
        </w:rPr>
        <w:t>;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Наземные транспортно-технологические средства</w:t>
      </w:r>
      <w:r>
        <w:rPr>
          <w:rFonts w:ascii="Arial" w:eastAsia="Arial" w:hAnsi="Arial" w:cs="Arial"/>
          <w:sz w:val="26"/>
          <w:szCs w:val="26"/>
        </w:rPr>
        <w:t>;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Ветеринарно-санитарная экспертиза</w:t>
      </w:r>
      <w:r>
        <w:rPr>
          <w:rFonts w:ascii="Arial" w:eastAsia="Arial" w:hAnsi="Arial" w:cs="Arial"/>
          <w:sz w:val="26"/>
          <w:szCs w:val="26"/>
        </w:rPr>
        <w:t>;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Профессиональное обучение (по отраслям) Правоведение и правоохранительная деятельность</w:t>
      </w:r>
      <w:r>
        <w:rPr>
          <w:rFonts w:ascii="Arial" w:eastAsia="Arial" w:hAnsi="Arial" w:cs="Arial"/>
          <w:sz w:val="26"/>
          <w:szCs w:val="26"/>
        </w:rPr>
        <w:t>;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Перевод и переводоведение;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  <w:highlight w:val="white"/>
        </w:rPr>
        <w:t>Специальный перевод (английский и китайский языки)</w:t>
      </w:r>
      <w:r>
        <w:rPr>
          <w:rFonts w:ascii="Arial" w:eastAsia="Arial" w:hAnsi="Arial" w:cs="Arial"/>
          <w:sz w:val="26"/>
          <w:szCs w:val="26"/>
        </w:rPr>
        <w:t>.</w:t>
      </w:r>
    </w:p>
    <w:p w:rsidR="00B615E3" w:rsidRDefault="00B615E3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B615E3" w:rsidRDefault="00DC5F29">
      <w:pPr>
        <w:spacing w:after="0" w:line="240" w:lineRule="auto"/>
        <w:ind w:firstLine="851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Слайд 7</w:t>
      </w:r>
    </w:p>
    <w:p w:rsidR="00B615E3" w:rsidRDefault="00DC5F29">
      <w:pPr>
        <w:spacing w:after="0" w:line="17" w:lineRule="atLeast"/>
        <w:ind w:firstLine="720"/>
        <w:jc w:val="both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eastAsia="Arial" w:hAnsi="Arial" w:cs="Arial"/>
          <w:color w:val="000000" w:themeColor="text1"/>
          <w:sz w:val="26"/>
          <w:szCs w:val="26"/>
        </w:rPr>
        <w:t xml:space="preserve">Одной из мер по обеспечению кадрами реального сектора экономики республики является целевое обучение. 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color w:val="000000" w:themeColor="text1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Начиная</w:t>
      </w:r>
      <w:r>
        <w:rPr>
          <w:rFonts w:ascii="Arial" w:eastAsia="Arial" w:hAnsi="Arial" w:cs="Arial"/>
          <w:sz w:val="26"/>
          <w:szCs w:val="26"/>
          <w:highlight w:val="white"/>
        </w:rPr>
        <w:t xml:space="preserve"> с 2026 года целевые места будут устанавливаться детализировано (детализированная квота), т.е. с указанием конкретных заказчиков, форм обучения, образовательных программ, субъектов, на территории которых будет осуществляться дальнейшая трудовая деятельност</w:t>
      </w:r>
      <w:r>
        <w:rPr>
          <w:rFonts w:ascii="Arial" w:eastAsia="Arial" w:hAnsi="Arial" w:cs="Arial"/>
          <w:sz w:val="26"/>
          <w:szCs w:val="26"/>
          <w:highlight w:val="white"/>
        </w:rPr>
        <w:t>ь. Заказчики (работодатели), которые не участвовали в целевой кампании в апреле 2025 года (т.е. не формировали заявку о кадровой потребности на 2026/2027 учебный год на платформе «Работа в России»), не смогут участвовать в приемной кампании 2026/2027 учебн</w:t>
      </w:r>
      <w:r>
        <w:rPr>
          <w:rFonts w:ascii="Arial" w:eastAsia="Arial" w:hAnsi="Arial" w:cs="Arial"/>
          <w:sz w:val="26"/>
          <w:szCs w:val="26"/>
          <w:highlight w:val="white"/>
        </w:rPr>
        <w:t xml:space="preserve">ого года. 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color w:val="000000" w:themeColor="text1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Каждое целевое место заранее «привязано» к конкретному работодателю. Это позволяет абитуриенту ещё до подачи документов понимать, в интересах какой организации он поступает и какие обязательства возникают после выпуска.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color w:val="000000" w:themeColor="text1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В настоящее время на плат</w:t>
      </w:r>
      <w:r>
        <w:rPr>
          <w:rFonts w:ascii="Arial" w:eastAsia="Arial" w:hAnsi="Arial" w:cs="Arial"/>
          <w:sz w:val="26"/>
          <w:szCs w:val="26"/>
          <w:highlight w:val="white"/>
        </w:rPr>
        <w:t xml:space="preserve">форме «Работа в России»  </w:t>
      </w:r>
      <w:r>
        <w:rPr>
          <w:rFonts w:ascii="Arial" w:eastAsia="Arial" w:hAnsi="Arial" w:cs="Arial"/>
          <w:sz w:val="26"/>
          <w:szCs w:val="26"/>
          <w:highlight w:val="white"/>
        </w:rPr>
        <w:br/>
        <w:t>размещено 557 заявок от заказчиков.</w:t>
      </w:r>
      <w:r>
        <w:rPr>
          <w:rFonts w:ascii="Arial" w:eastAsia="Arial" w:hAnsi="Arial" w:cs="Arial"/>
          <w:sz w:val="26"/>
          <w:szCs w:val="26"/>
        </w:rPr>
        <w:t xml:space="preserve"> С 15 по 25 февраля заказчики могут согласовать, отклонить или уменьшить заявку. 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color w:val="000000" w:themeColor="text1"/>
          <w:sz w:val="26"/>
          <w:szCs w:val="26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Квоты целевого приема на 2026 год будут утверждены Правительством Российской Федерации до 10 апреля 2026 года.Зак</w:t>
      </w:r>
      <w:r>
        <w:rPr>
          <w:rFonts w:ascii="Arial" w:eastAsia="Arial" w:hAnsi="Arial" w:cs="Arial"/>
          <w:sz w:val="26"/>
          <w:szCs w:val="26"/>
          <w:highlight w:val="white"/>
        </w:rPr>
        <w:t>азчики целевого обучения, которые будут указаны в распоряжении, должны в период с 10 мая по 10 июня 2026 года разместить свои предложения на цифровой платформе «Работа в России».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Основными плюсами целевого обучения являются: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В обязательном порядке предусма</w:t>
      </w:r>
      <w:r>
        <w:rPr>
          <w:rFonts w:ascii="Arial" w:eastAsia="Arial" w:hAnsi="Arial" w:cs="Arial"/>
          <w:sz w:val="26"/>
          <w:szCs w:val="26"/>
          <w:highlight w:val="white"/>
        </w:rPr>
        <w:t>тривается стипендия от заказчика. Могут быть предусмотрены другие формы материального поощрения, оплата или предоставление жилья;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</w:rPr>
        <w:t>Прохождение производственной практики у работодателя;</w:t>
      </w:r>
    </w:p>
    <w:p w:rsidR="00B615E3" w:rsidRDefault="00DC5F29">
      <w:pPr>
        <w:spacing w:after="0" w:line="240" w:lineRule="auto"/>
        <w:ind w:firstLine="851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  <w:highlight w:val="white"/>
        </w:rPr>
        <w:t>Гарантированное место работы после окончания обучения.</w:t>
      </w:r>
    </w:p>
    <w:p w:rsidR="00B615E3" w:rsidRDefault="00B615E3">
      <w:pPr>
        <w:spacing w:after="0" w:line="240" w:lineRule="auto"/>
        <w:ind w:firstLine="851"/>
        <w:jc w:val="both"/>
        <w:rPr>
          <w:rFonts w:ascii="Arial" w:eastAsia="Arial" w:hAnsi="Arial" w:cs="Arial"/>
          <w:sz w:val="26"/>
          <w:szCs w:val="26"/>
          <w:highlight w:val="white"/>
        </w:rPr>
      </w:pPr>
    </w:p>
    <w:p w:rsidR="00B615E3" w:rsidRDefault="00B615E3">
      <w:pPr>
        <w:spacing w:after="0" w:line="240" w:lineRule="auto"/>
        <w:ind w:firstLine="851"/>
        <w:jc w:val="both"/>
        <w:rPr>
          <w:rFonts w:ascii="Arial" w:eastAsia="Arial" w:hAnsi="Arial" w:cs="Arial"/>
          <w:sz w:val="26"/>
          <w:szCs w:val="26"/>
          <w:highlight w:val="white"/>
        </w:rPr>
      </w:pPr>
    </w:p>
    <w:p w:rsidR="00B615E3" w:rsidRDefault="00B615E3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  <w:highlight w:val="white"/>
        </w:rPr>
      </w:pPr>
    </w:p>
    <w:p w:rsidR="00B615E3" w:rsidRDefault="00B615E3">
      <w:pPr>
        <w:spacing w:after="0" w:line="240" w:lineRule="auto"/>
        <w:ind w:firstLine="709"/>
        <w:jc w:val="both"/>
        <w:rPr>
          <w:rFonts w:ascii="Arial" w:eastAsia="Arial" w:hAnsi="Arial" w:cs="Arial"/>
          <w:bCs/>
          <w:i/>
          <w:sz w:val="26"/>
          <w:szCs w:val="26"/>
        </w:rPr>
      </w:pPr>
    </w:p>
    <w:sectPr w:rsidR="00B615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5E3" w:rsidRDefault="00DC5F29">
      <w:pPr>
        <w:spacing w:after="0" w:line="240" w:lineRule="auto"/>
      </w:pPr>
      <w:r>
        <w:separator/>
      </w:r>
    </w:p>
  </w:endnote>
  <w:endnote w:type="continuationSeparator" w:id="0">
    <w:p w:rsidR="00B615E3" w:rsidRDefault="00DC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5E3" w:rsidRDefault="00DC5F29">
      <w:pPr>
        <w:spacing w:after="0" w:line="240" w:lineRule="auto"/>
      </w:pPr>
      <w:r>
        <w:separator/>
      </w:r>
    </w:p>
  </w:footnote>
  <w:footnote w:type="continuationSeparator" w:id="0">
    <w:p w:rsidR="00B615E3" w:rsidRDefault="00DC5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4D2B"/>
    <w:multiLevelType w:val="hybridMultilevel"/>
    <w:tmpl w:val="4912B0C4"/>
    <w:lvl w:ilvl="0" w:tplc="BFE657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B9C43D6">
      <w:start w:val="1"/>
      <w:numFmt w:val="lowerLetter"/>
      <w:lvlText w:val="%2."/>
      <w:lvlJc w:val="left"/>
      <w:pPr>
        <w:ind w:left="1789" w:hanging="360"/>
      </w:pPr>
    </w:lvl>
    <w:lvl w:ilvl="2" w:tplc="D028486E">
      <w:start w:val="1"/>
      <w:numFmt w:val="lowerRoman"/>
      <w:lvlText w:val="%3."/>
      <w:lvlJc w:val="right"/>
      <w:pPr>
        <w:ind w:left="2509" w:hanging="180"/>
      </w:pPr>
    </w:lvl>
    <w:lvl w:ilvl="3" w:tplc="337A3A00">
      <w:start w:val="1"/>
      <w:numFmt w:val="decimal"/>
      <w:lvlText w:val="%4."/>
      <w:lvlJc w:val="left"/>
      <w:pPr>
        <w:ind w:left="3229" w:hanging="360"/>
      </w:pPr>
    </w:lvl>
    <w:lvl w:ilvl="4" w:tplc="A15E185E">
      <w:start w:val="1"/>
      <w:numFmt w:val="lowerLetter"/>
      <w:lvlText w:val="%5."/>
      <w:lvlJc w:val="left"/>
      <w:pPr>
        <w:ind w:left="3949" w:hanging="360"/>
      </w:pPr>
    </w:lvl>
    <w:lvl w:ilvl="5" w:tplc="0CBCDC7E">
      <w:start w:val="1"/>
      <w:numFmt w:val="lowerRoman"/>
      <w:lvlText w:val="%6."/>
      <w:lvlJc w:val="right"/>
      <w:pPr>
        <w:ind w:left="4669" w:hanging="180"/>
      </w:pPr>
    </w:lvl>
    <w:lvl w:ilvl="6" w:tplc="8A80CD96">
      <w:start w:val="1"/>
      <w:numFmt w:val="decimal"/>
      <w:lvlText w:val="%7."/>
      <w:lvlJc w:val="left"/>
      <w:pPr>
        <w:ind w:left="5389" w:hanging="360"/>
      </w:pPr>
    </w:lvl>
    <w:lvl w:ilvl="7" w:tplc="A95225CC">
      <w:start w:val="1"/>
      <w:numFmt w:val="lowerLetter"/>
      <w:lvlText w:val="%8."/>
      <w:lvlJc w:val="left"/>
      <w:pPr>
        <w:ind w:left="6109" w:hanging="360"/>
      </w:pPr>
    </w:lvl>
    <w:lvl w:ilvl="8" w:tplc="846A3AC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E108C1"/>
    <w:multiLevelType w:val="hybridMultilevel"/>
    <w:tmpl w:val="EC9E063A"/>
    <w:lvl w:ilvl="0" w:tplc="4B5EE3F2">
      <w:start w:val="1"/>
      <w:numFmt w:val="bullet"/>
      <w:lvlText w:val="ü"/>
      <w:lvlJc w:val="left"/>
      <w:pPr>
        <w:ind w:left="1412" w:hanging="360"/>
      </w:pPr>
      <w:rPr>
        <w:rFonts w:ascii="Wingdings" w:eastAsia="Wingdings" w:hAnsi="Wingdings" w:cs="Wingdings"/>
      </w:rPr>
    </w:lvl>
    <w:lvl w:ilvl="1" w:tplc="5B80A9DE">
      <w:start w:val="1"/>
      <w:numFmt w:val="bullet"/>
      <w:lvlText w:val="o"/>
      <w:lvlJc w:val="left"/>
      <w:pPr>
        <w:ind w:left="2132" w:hanging="360"/>
      </w:pPr>
      <w:rPr>
        <w:rFonts w:ascii="Courier New" w:eastAsia="Courier New" w:hAnsi="Courier New" w:cs="Courier New" w:hint="default"/>
      </w:rPr>
    </w:lvl>
    <w:lvl w:ilvl="2" w:tplc="4F0E430C">
      <w:start w:val="1"/>
      <w:numFmt w:val="bullet"/>
      <w:lvlText w:val="§"/>
      <w:lvlJc w:val="left"/>
      <w:pPr>
        <w:ind w:left="2852" w:hanging="360"/>
      </w:pPr>
      <w:rPr>
        <w:rFonts w:ascii="Wingdings" w:eastAsia="Wingdings" w:hAnsi="Wingdings" w:cs="Wingdings" w:hint="default"/>
      </w:rPr>
    </w:lvl>
    <w:lvl w:ilvl="3" w:tplc="A7FA9BB2">
      <w:start w:val="1"/>
      <w:numFmt w:val="bullet"/>
      <w:lvlText w:val="·"/>
      <w:lvlJc w:val="left"/>
      <w:pPr>
        <w:ind w:left="3572" w:hanging="360"/>
      </w:pPr>
      <w:rPr>
        <w:rFonts w:ascii="Symbol" w:eastAsia="Symbol" w:hAnsi="Symbol" w:cs="Symbol" w:hint="default"/>
      </w:rPr>
    </w:lvl>
    <w:lvl w:ilvl="4" w:tplc="6840FF0A">
      <w:start w:val="1"/>
      <w:numFmt w:val="bullet"/>
      <w:lvlText w:val="o"/>
      <w:lvlJc w:val="left"/>
      <w:pPr>
        <w:ind w:left="4292" w:hanging="360"/>
      </w:pPr>
      <w:rPr>
        <w:rFonts w:ascii="Courier New" w:eastAsia="Courier New" w:hAnsi="Courier New" w:cs="Courier New" w:hint="default"/>
      </w:rPr>
    </w:lvl>
    <w:lvl w:ilvl="5" w:tplc="E070AEFC">
      <w:start w:val="1"/>
      <w:numFmt w:val="bullet"/>
      <w:lvlText w:val="§"/>
      <w:lvlJc w:val="left"/>
      <w:pPr>
        <w:ind w:left="5012" w:hanging="360"/>
      </w:pPr>
      <w:rPr>
        <w:rFonts w:ascii="Wingdings" w:eastAsia="Wingdings" w:hAnsi="Wingdings" w:cs="Wingdings" w:hint="default"/>
      </w:rPr>
    </w:lvl>
    <w:lvl w:ilvl="6" w:tplc="ADDA01D0">
      <w:start w:val="1"/>
      <w:numFmt w:val="bullet"/>
      <w:lvlText w:val="·"/>
      <w:lvlJc w:val="left"/>
      <w:pPr>
        <w:ind w:left="5732" w:hanging="360"/>
      </w:pPr>
      <w:rPr>
        <w:rFonts w:ascii="Symbol" w:eastAsia="Symbol" w:hAnsi="Symbol" w:cs="Symbol" w:hint="default"/>
      </w:rPr>
    </w:lvl>
    <w:lvl w:ilvl="7" w:tplc="D3D05574">
      <w:start w:val="1"/>
      <w:numFmt w:val="bullet"/>
      <w:lvlText w:val="o"/>
      <w:lvlJc w:val="left"/>
      <w:pPr>
        <w:ind w:left="6452" w:hanging="360"/>
      </w:pPr>
      <w:rPr>
        <w:rFonts w:ascii="Courier New" w:eastAsia="Courier New" w:hAnsi="Courier New" w:cs="Courier New" w:hint="default"/>
      </w:rPr>
    </w:lvl>
    <w:lvl w:ilvl="8" w:tplc="95541B18">
      <w:start w:val="1"/>
      <w:numFmt w:val="bullet"/>
      <w:lvlText w:val="§"/>
      <w:lvlJc w:val="left"/>
      <w:pPr>
        <w:ind w:left="7172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08C0B7E"/>
    <w:multiLevelType w:val="hybridMultilevel"/>
    <w:tmpl w:val="3BD601BA"/>
    <w:lvl w:ilvl="0" w:tplc="BADE7BE0">
      <w:start w:val="1"/>
      <w:numFmt w:val="bullet"/>
      <w:lvlText w:val="ü"/>
      <w:lvlJc w:val="left"/>
      <w:pPr>
        <w:ind w:left="1412" w:hanging="360"/>
      </w:pPr>
      <w:rPr>
        <w:rFonts w:ascii="Wingdings" w:eastAsia="Wingdings" w:hAnsi="Wingdings" w:cs="Wingdings"/>
      </w:rPr>
    </w:lvl>
    <w:lvl w:ilvl="1" w:tplc="E4F659C2">
      <w:start w:val="1"/>
      <w:numFmt w:val="bullet"/>
      <w:lvlText w:val="o"/>
      <w:lvlJc w:val="left"/>
      <w:pPr>
        <w:ind w:left="2132" w:hanging="360"/>
      </w:pPr>
      <w:rPr>
        <w:rFonts w:ascii="Courier New" w:eastAsia="Courier New" w:hAnsi="Courier New" w:cs="Courier New" w:hint="default"/>
      </w:rPr>
    </w:lvl>
    <w:lvl w:ilvl="2" w:tplc="E1EE0FDE">
      <w:start w:val="1"/>
      <w:numFmt w:val="bullet"/>
      <w:lvlText w:val="§"/>
      <w:lvlJc w:val="left"/>
      <w:pPr>
        <w:ind w:left="2852" w:hanging="360"/>
      </w:pPr>
      <w:rPr>
        <w:rFonts w:ascii="Wingdings" w:eastAsia="Wingdings" w:hAnsi="Wingdings" w:cs="Wingdings" w:hint="default"/>
      </w:rPr>
    </w:lvl>
    <w:lvl w:ilvl="3" w:tplc="2BC6987A">
      <w:start w:val="1"/>
      <w:numFmt w:val="bullet"/>
      <w:lvlText w:val="·"/>
      <w:lvlJc w:val="left"/>
      <w:pPr>
        <w:ind w:left="3572" w:hanging="360"/>
      </w:pPr>
      <w:rPr>
        <w:rFonts w:ascii="Symbol" w:eastAsia="Symbol" w:hAnsi="Symbol" w:cs="Symbol" w:hint="default"/>
      </w:rPr>
    </w:lvl>
    <w:lvl w:ilvl="4" w:tplc="227A2C70">
      <w:start w:val="1"/>
      <w:numFmt w:val="bullet"/>
      <w:lvlText w:val="o"/>
      <w:lvlJc w:val="left"/>
      <w:pPr>
        <w:ind w:left="4292" w:hanging="360"/>
      </w:pPr>
      <w:rPr>
        <w:rFonts w:ascii="Courier New" w:eastAsia="Courier New" w:hAnsi="Courier New" w:cs="Courier New" w:hint="default"/>
      </w:rPr>
    </w:lvl>
    <w:lvl w:ilvl="5" w:tplc="0C903864">
      <w:start w:val="1"/>
      <w:numFmt w:val="bullet"/>
      <w:lvlText w:val="§"/>
      <w:lvlJc w:val="left"/>
      <w:pPr>
        <w:ind w:left="5012" w:hanging="360"/>
      </w:pPr>
      <w:rPr>
        <w:rFonts w:ascii="Wingdings" w:eastAsia="Wingdings" w:hAnsi="Wingdings" w:cs="Wingdings" w:hint="default"/>
      </w:rPr>
    </w:lvl>
    <w:lvl w:ilvl="6" w:tplc="DC70547C">
      <w:start w:val="1"/>
      <w:numFmt w:val="bullet"/>
      <w:lvlText w:val="·"/>
      <w:lvlJc w:val="left"/>
      <w:pPr>
        <w:ind w:left="5732" w:hanging="360"/>
      </w:pPr>
      <w:rPr>
        <w:rFonts w:ascii="Symbol" w:eastAsia="Symbol" w:hAnsi="Symbol" w:cs="Symbol" w:hint="default"/>
      </w:rPr>
    </w:lvl>
    <w:lvl w:ilvl="7" w:tplc="85CA2DC2">
      <w:start w:val="1"/>
      <w:numFmt w:val="bullet"/>
      <w:lvlText w:val="o"/>
      <w:lvlJc w:val="left"/>
      <w:pPr>
        <w:ind w:left="6452" w:hanging="360"/>
      </w:pPr>
      <w:rPr>
        <w:rFonts w:ascii="Courier New" w:eastAsia="Courier New" w:hAnsi="Courier New" w:cs="Courier New" w:hint="default"/>
      </w:rPr>
    </w:lvl>
    <w:lvl w:ilvl="8" w:tplc="DFF8D3B4">
      <w:start w:val="1"/>
      <w:numFmt w:val="bullet"/>
      <w:lvlText w:val="§"/>
      <w:lvlJc w:val="left"/>
      <w:pPr>
        <w:ind w:left="7172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5D62ECC"/>
    <w:multiLevelType w:val="hybridMultilevel"/>
    <w:tmpl w:val="EF80BE00"/>
    <w:lvl w:ilvl="0" w:tplc="AEA47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89A3B4C">
      <w:start w:val="1"/>
      <w:numFmt w:val="lowerLetter"/>
      <w:lvlText w:val="%2."/>
      <w:lvlJc w:val="left"/>
      <w:pPr>
        <w:ind w:left="1789" w:hanging="360"/>
      </w:pPr>
    </w:lvl>
    <w:lvl w:ilvl="2" w:tplc="2D9C20AA">
      <w:start w:val="1"/>
      <w:numFmt w:val="lowerRoman"/>
      <w:lvlText w:val="%3."/>
      <w:lvlJc w:val="right"/>
      <w:pPr>
        <w:ind w:left="2509" w:hanging="180"/>
      </w:pPr>
    </w:lvl>
    <w:lvl w:ilvl="3" w:tplc="6D8E668E">
      <w:start w:val="1"/>
      <w:numFmt w:val="decimal"/>
      <w:lvlText w:val="%4."/>
      <w:lvlJc w:val="left"/>
      <w:pPr>
        <w:ind w:left="3229" w:hanging="360"/>
      </w:pPr>
    </w:lvl>
    <w:lvl w:ilvl="4" w:tplc="C9AA276E">
      <w:start w:val="1"/>
      <w:numFmt w:val="lowerLetter"/>
      <w:lvlText w:val="%5."/>
      <w:lvlJc w:val="left"/>
      <w:pPr>
        <w:ind w:left="3949" w:hanging="360"/>
      </w:pPr>
    </w:lvl>
    <w:lvl w:ilvl="5" w:tplc="27101B70">
      <w:start w:val="1"/>
      <w:numFmt w:val="lowerRoman"/>
      <w:lvlText w:val="%6."/>
      <w:lvlJc w:val="right"/>
      <w:pPr>
        <w:ind w:left="4669" w:hanging="180"/>
      </w:pPr>
    </w:lvl>
    <w:lvl w:ilvl="6" w:tplc="20EEBFCA">
      <w:start w:val="1"/>
      <w:numFmt w:val="decimal"/>
      <w:lvlText w:val="%7."/>
      <w:lvlJc w:val="left"/>
      <w:pPr>
        <w:ind w:left="5389" w:hanging="360"/>
      </w:pPr>
    </w:lvl>
    <w:lvl w:ilvl="7" w:tplc="23667F9A">
      <w:start w:val="1"/>
      <w:numFmt w:val="lowerLetter"/>
      <w:lvlText w:val="%8."/>
      <w:lvlJc w:val="left"/>
      <w:pPr>
        <w:ind w:left="6109" w:hanging="360"/>
      </w:pPr>
    </w:lvl>
    <w:lvl w:ilvl="8" w:tplc="DCBCA61C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CA32E2"/>
    <w:multiLevelType w:val="hybridMultilevel"/>
    <w:tmpl w:val="74A2F5EE"/>
    <w:lvl w:ilvl="0" w:tplc="6B922E50">
      <w:start w:val="1"/>
      <w:numFmt w:val="bullet"/>
      <w:lvlText w:val="ü"/>
      <w:lvlJc w:val="left"/>
      <w:pPr>
        <w:ind w:left="1412" w:hanging="360"/>
      </w:pPr>
      <w:rPr>
        <w:rFonts w:ascii="Wingdings" w:eastAsia="Wingdings" w:hAnsi="Wingdings" w:cs="Wingdings"/>
      </w:rPr>
    </w:lvl>
    <w:lvl w:ilvl="1" w:tplc="1A6E7850">
      <w:start w:val="1"/>
      <w:numFmt w:val="bullet"/>
      <w:lvlText w:val="o"/>
      <w:lvlJc w:val="left"/>
      <w:pPr>
        <w:ind w:left="2132" w:hanging="360"/>
      </w:pPr>
      <w:rPr>
        <w:rFonts w:ascii="Courier New" w:eastAsia="Courier New" w:hAnsi="Courier New" w:cs="Courier New" w:hint="default"/>
      </w:rPr>
    </w:lvl>
    <w:lvl w:ilvl="2" w:tplc="021AFB66">
      <w:start w:val="1"/>
      <w:numFmt w:val="bullet"/>
      <w:lvlText w:val="§"/>
      <w:lvlJc w:val="left"/>
      <w:pPr>
        <w:ind w:left="2852" w:hanging="360"/>
      </w:pPr>
      <w:rPr>
        <w:rFonts w:ascii="Wingdings" w:eastAsia="Wingdings" w:hAnsi="Wingdings" w:cs="Wingdings" w:hint="default"/>
      </w:rPr>
    </w:lvl>
    <w:lvl w:ilvl="3" w:tplc="1C6A792C">
      <w:start w:val="1"/>
      <w:numFmt w:val="bullet"/>
      <w:lvlText w:val="·"/>
      <w:lvlJc w:val="left"/>
      <w:pPr>
        <w:ind w:left="3572" w:hanging="360"/>
      </w:pPr>
      <w:rPr>
        <w:rFonts w:ascii="Symbol" w:eastAsia="Symbol" w:hAnsi="Symbol" w:cs="Symbol" w:hint="default"/>
      </w:rPr>
    </w:lvl>
    <w:lvl w:ilvl="4" w:tplc="19AAF828">
      <w:start w:val="1"/>
      <w:numFmt w:val="bullet"/>
      <w:lvlText w:val="o"/>
      <w:lvlJc w:val="left"/>
      <w:pPr>
        <w:ind w:left="4292" w:hanging="360"/>
      </w:pPr>
      <w:rPr>
        <w:rFonts w:ascii="Courier New" w:eastAsia="Courier New" w:hAnsi="Courier New" w:cs="Courier New" w:hint="default"/>
      </w:rPr>
    </w:lvl>
    <w:lvl w:ilvl="5" w:tplc="A14EB5BC">
      <w:start w:val="1"/>
      <w:numFmt w:val="bullet"/>
      <w:lvlText w:val="§"/>
      <w:lvlJc w:val="left"/>
      <w:pPr>
        <w:ind w:left="5012" w:hanging="360"/>
      </w:pPr>
      <w:rPr>
        <w:rFonts w:ascii="Wingdings" w:eastAsia="Wingdings" w:hAnsi="Wingdings" w:cs="Wingdings" w:hint="default"/>
      </w:rPr>
    </w:lvl>
    <w:lvl w:ilvl="6" w:tplc="87122C1A">
      <w:start w:val="1"/>
      <w:numFmt w:val="bullet"/>
      <w:lvlText w:val="·"/>
      <w:lvlJc w:val="left"/>
      <w:pPr>
        <w:ind w:left="5732" w:hanging="360"/>
      </w:pPr>
      <w:rPr>
        <w:rFonts w:ascii="Symbol" w:eastAsia="Symbol" w:hAnsi="Symbol" w:cs="Symbol" w:hint="default"/>
      </w:rPr>
    </w:lvl>
    <w:lvl w:ilvl="7" w:tplc="4EBE2036">
      <w:start w:val="1"/>
      <w:numFmt w:val="bullet"/>
      <w:lvlText w:val="o"/>
      <w:lvlJc w:val="left"/>
      <w:pPr>
        <w:ind w:left="6452" w:hanging="360"/>
      </w:pPr>
      <w:rPr>
        <w:rFonts w:ascii="Courier New" w:eastAsia="Courier New" w:hAnsi="Courier New" w:cs="Courier New" w:hint="default"/>
      </w:rPr>
    </w:lvl>
    <w:lvl w:ilvl="8" w:tplc="FEB64500">
      <w:start w:val="1"/>
      <w:numFmt w:val="bullet"/>
      <w:lvlText w:val="§"/>
      <w:lvlJc w:val="left"/>
      <w:pPr>
        <w:ind w:left="7172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5E3"/>
    <w:rsid w:val="00B615E3"/>
    <w:rsid w:val="00DC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B19EA3-337C-4DE0-81E7-277148CEC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Лукшин Алексей Петрович</dc:creator>
  <cp:lastModifiedBy>Орг. отдел администрации Янтиковского района</cp:lastModifiedBy>
  <cp:revision>2</cp:revision>
  <dcterms:created xsi:type="dcterms:W3CDTF">2026-02-17T12:43:00Z</dcterms:created>
  <dcterms:modified xsi:type="dcterms:W3CDTF">2026-02-17T12:43:00Z</dcterms:modified>
</cp:coreProperties>
</file>