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>
        <w:tblPrEx/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РЕСПУБЛИКАНС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К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АЯ </w:t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</w:rPr>
            </w:r>
          </w:p>
          <w:p>
            <w:pPr>
              <w:rPr>
                <w:rFonts w:ascii="Arial" w:hAnsi="Arial" w:cs="Arial"/>
                <w:b/>
                <w:color w:val="0033cc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8"/>
                <w:szCs w:val="28"/>
                <w:highlight w:val="white"/>
                <w:lang w:eastAsia="ru-RU"/>
              </w:rPr>
              <w:t xml:space="preserve">НАУЧНО-ПРАКТИЧЕСКАЯ КОНФЕРЕНЦИЯ</w:t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highlight w:val="whit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  <w:lang w:eastAsia="ru-RU"/>
              </w:rPr>
              <w:t xml:space="preserve">ДЕЛОВАЯ ПРОГРАММА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  <w:p>
            <w:pPr>
              <w:jc w:val="right"/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Без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опасность и охрана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           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lang w:eastAsia="ru-RU"/>
              </w:rPr>
              <w:t xml:space="preserve">труда – 2025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6"/>
                <w:szCs w:val="2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36"/>
                <w:szCs w:val="36"/>
                <w:highlight w:val="white"/>
                <w:u w:val="single"/>
              </w:rPr>
            </w:r>
          </w:p>
        </w:tc>
      </w:tr>
    </w:tbl>
    <w:tbl>
      <w:tblPr>
        <w:tblStyle w:val="968"/>
        <w:tblW w:w="2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817"/>
        <w:gridCol w:w="921"/>
      </w:tblGrid>
      <w:tr>
        <w:tblPrEx/>
        <w:trPr>
          <w:trHeight w:val="693"/>
        </w:trPr>
        <w:tc>
          <w:tcPr>
            <w:tcW w:w="92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4995" cy="318407"/>
                      <wp:effectExtent l="0" t="0" r="0" b="5715"/>
                      <wp:docPr id="1" name="Рисунок 5" descr="C:\Users\mintrud-79\AppData\Local\Microsoft\Windows\INetCache\Content.Outlook\T9JF75PA\Flag_of_Rostru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intrud-79\AppData\Local\Microsoft\Windows\INetCache\Content.Outlook\T9JF75PA\Flag_of_Rostrud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049" cy="319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3.23pt;height:25.07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4"/>
                <w:szCs w:val="4"/>
                <w:highlight w:val="white"/>
              </w:rPr>
            </w:pPr>
            <w:r>
              <w:rPr>
                <w:sz w:val="4"/>
                <w:szCs w:val="4"/>
                <w:highlight w:val="white"/>
                <w:lang w:val="en-US" w:eastAsia="ru-RU"/>
              </w:rPr>
            </w:r>
            <w:r>
              <w:rPr>
                <w:sz w:val="4"/>
                <w:szCs w:val="4"/>
                <w:highlight w:val="white"/>
              </w:rPr>
            </w:r>
            <w:r>
              <w:rPr>
                <w:sz w:val="4"/>
                <w:szCs w:val="4"/>
                <w:highlight w:val="white"/>
              </w:rPr>
            </w:r>
          </w:p>
          <w:p>
            <w:pPr>
              <w:ind w:left="-71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3529" cy="439298"/>
                      <wp:effectExtent l="0" t="0" r="3175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3529" cy="439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7.29pt;height:34.5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3721" cy="359229"/>
                      <wp:effectExtent l="0" t="0" r="0" b="3175"/>
                      <wp:docPr id="3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3721" cy="35922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0.21pt;height:28.29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color w:val="0033cc"/>
          <w:highlight w:val="white"/>
        </w:rPr>
      </w:pPr>
      <w:r>
        <w:rPr>
          <w:rFonts w:ascii="Arial" w:hAnsi="Arial" w:cs="Arial"/>
          <w:b/>
          <w:color w:val="0033cc"/>
          <w:highlight w:val="white"/>
          <w:lang w:eastAsia="ru-RU"/>
        </w:rPr>
      </w:r>
      <w:r>
        <w:rPr>
          <w:rFonts w:ascii="Arial" w:hAnsi="Arial" w:cs="Arial"/>
          <w:b/>
          <w:color w:val="0033cc"/>
          <w:highlight w:val="white"/>
        </w:rPr>
      </w:r>
      <w:r>
        <w:rPr>
          <w:rFonts w:ascii="Arial" w:hAnsi="Arial" w:cs="Arial"/>
          <w:b/>
          <w:color w:val="0033cc"/>
          <w:highlight w:val="white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pP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25 АПРЕЛЯ 2025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 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г</w:t>
      </w:r>
      <w:r>
        <w:rPr>
          <w:rFonts w:ascii="Arial" w:hAnsi="Arial" w:cs="Arial"/>
          <w:b/>
          <w:color w:val="0033cc"/>
          <w:sz w:val="25"/>
          <w:szCs w:val="25"/>
          <w:highlight w:val="white"/>
          <w:lang w:eastAsia="ru-RU"/>
        </w:rPr>
        <w:t xml:space="preserve">.</w:t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/>
          <w:b/>
          <w:bCs/>
          <w:color w:val="0033cc"/>
          <w:sz w:val="25"/>
          <w:szCs w:val="25"/>
          <w:highlight w:val="white"/>
        </w:rPr>
      </w:r>
    </w:p>
    <w:p>
      <w:pPr>
        <w:pStyle w:val="969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</w:r>
      <w:r>
        <w:rPr>
          <w:rFonts w:ascii="Arial" w:hAnsi="Arial" w:cs="Arial" w:eastAsiaTheme="minorHAnsi"/>
          <w:b/>
          <w:bCs/>
          <w:color w:val="0033cc"/>
          <w:sz w:val="25"/>
          <w:szCs w:val="25"/>
          <w:highlight w:val="white"/>
        </w:rPr>
        <w:t xml:space="preserve">БУ «Национальная библиотека Чувашской Республики» </w:t>
        <w:br/>
        <w:t xml:space="preserve">Минкультуры Чувашии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69"/>
        <w:jc w:val="center"/>
        <w:spacing w:before="0" w:beforeAutospacing="0" w:after="0" w:afterAutospacing="0" w:line="23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  <w:t xml:space="preserve">г. Чебоксары, пр. Ленина, д. 15.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pStyle w:val="969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p>
      <w:pPr>
        <w:pStyle w:val="969"/>
        <w:jc w:val="center"/>
        <w:spacing w:before="0" w:beforeAutospacing="0" w:after="0" w:afterAutospacing="0" w:line="230" w:lineRule="auto"/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pP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/>
          <w:color w:val="0033cc"/>
          <w:sz w:val="20"/>
          <w:szCs w:val="20"/>
          <w:highlight w:val="white"/>
          <w14:ligatures w14:val="none"/>
        </w:rPr>
      </w:r>
    </w:p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10.00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– 13.30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Выставка средств индивидуальной и коллективной защиты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 лидеров отрасли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:lang w:eastAsia="ru-RU"/>
              </w:rPr>
              <w:t xml:space="preserve">(уточняется)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Регистрация участников конференции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375"/>
        </w:trPr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sz w:val="10"/>
                <w:szCs w:val="10"/>
                <w:highlight w:val="white"/>
                <w:lang w:eastAsia="ru-RU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11.00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5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409,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4 этаж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Открытие конференции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  <w:lang w:eastAsia="ru-RU"/>
              </w:rPr>
              <w:t xml:space="preserve">Приветственное слово: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Елизарова Алена Геннадьевна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, министр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 труда и 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социальной защиты Чувашской Республики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:lang w:eastAsia="ru-RU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10"/>
                <w:szCs w:val="10"/>
                <w:highlight w:val="non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Метёлкин Алексей Игоревич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, руководитель 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Государственной инспекции труда в Чувашской Республике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Николаев Валерий Петрович</w:t>
            </w: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  <w:t xml:space="preserve">, управляющий Отделением Фонда пенсионного и социального страхования Российской Федерации по Чувашской Республике – Чувашии 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  <w:lang w:eastAsia="ru-RU"/>
              </w:rPr>
              <w:t xml:space="preserve">Гермонова Татьяна Геннадьевна,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заместитель руководителя Управления Роспотребнадзора по Чувашской Республике - Чувашии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  <w:lang w:eastAsia="ru-RU"/>
              </w:rPr>
              <w:t xml:space="preserve">Ильин Виталий Петрович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 заместитель 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пре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д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седателя Союза «Чувашское республиканское объед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и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нение организаций профсоюзов «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Чувашрессовпроф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>
          <w:trHeight w:val="524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  <w:lang w:eastAsia="ru-RU"/>
              </w:rPr>
              <w:t xml:space="preserve">Кустарин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  <w:lang w:eastAsia="ru-RU"/>
              </w:rPr>
              <w:t xml:space="preserve"> Игорь Владимирович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eastAsia="ru-RU"/>
              </w:rPr>
              <w:t xml:space="preserve">президент Союза «Торгово-промышленная палата Чувашской Республики»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11.15 – 11.35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  <w:t xml:space="preserve">Награждение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(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победителей и призеров республиканского конкурса детского рисунка «Охрана труда глазами детей»,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смотра-конкурса по охране труда среди организаций в Чувашской Республике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,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 победителей республиканского конкурса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на звание «Лучший уполномоченный по охране труда Чувашрессовпрофа»,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благодарственные письма организациям–партнерам в организации 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418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13.30 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–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  <w:t xml:space="preserve">14.00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 w:val="0"/>
                <w:bCs w:val="0"/>
                <w:i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5"/>
                <w:szCs w:val="25"/>
                <w:highlight w:val="none"/>
                <w:u w:val="none"/>
                <w:lang w:eastAsia="ru-RU"/>
              </w:rPr>
              <w:t xml:space="preserve">Кофе-брейк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5"/>
                <w:szCs w:val="25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b w:val="0"/>
                <w:bCs w:val="0"/>
                <w:i/>
                <w:sz w:val="25"/>
                <w:szCs w:val="25"/>
                <w:highlight w:val="white"/>
                <w:u w:val="single"/>
              </w:rPr>
            </w:r>
          </w:p>
        </w:tc>
      </w:tr>
      <w:tr>
        <w:tblPrEx/>
        <w:trPr>
          <w:trHeight w:val="846"/>
        </w:trPr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</w:rPr>
              <w:t xml:space="preserve">к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абинет 409, 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:lang w:eastAsia="ru-RU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4 этаж</w:t>
            </w:r>
            <w:r>
              <w:rPr>
                <w:rFonts w:ascii="Arial" w:hAnsi="Arial" w:cs="Arial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1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i/>
                <w:iCs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Эффективная система безопасности производственной деятельности как элемент устойчивого развития компании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line="216" w:lineRule="auto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283"/>
              <w:jc w:val="both"/>
              <w:spacing w:line="216" w:lineRule="auto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70"/>
              <w:numPr>
                <w:ilvl w:val="0"/>
                <w:numId w:val="35"/>
              </w:numPr>
              <w:ind w:left="408" w:right="0" w:hanging="408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Несчастные случаи на производстве: профилактика </w:t>
              <w:br/>
              <w:t xml:space="preserve">и расследование. Основные нарушения, выявляемые </w:t>
              <w:br/>
              <w:t xml:space="preserve">в ходе расследований несчастных случаев </w:t>
              <w:br/>
              <w:t xml:space="preserve">на производстве и эффективные меры по их предотвращению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</w:p>
          <w:p>
            <w:pPr>
              <w:pStyle w:val="970"/>
              <w:numPr>
                <w:ilvl w:val="0"/>
                <w:numId w:val="35"/>
              </w:numPr>
              <w:ind w:left="408" w:right="0" w:hanging="408"/>
              <w:jc w:val="both"/>
              <w:spacing w:line="216" w:lineRule="auto"/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Правильное распределение обязанностей по охране труда</w:t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залог эффективной и безопасной работы. Основные ошибки, допускаемые работодателями, судебная практи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а</w:t>
            </w:r>
            <w:r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spacing w:line="216" w:lineRule="auto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70"/>
              <w:numPr>
                <w:ilvl w:val="0"/>
                <w:numId w:val="35"/>
              </w:numPr>
              <w:ind w:left="408" w:right="0" w:hanging="408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С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оздание условий для предотвращения травматизма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br/>
              <w:t xml:space="preserve">и профзаболеваемости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через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финансовое обеспечение предупредительных мер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ind w:left="360" w:firstLine="0"/>
              <w:jc w:val="both"/>
              <w:spacing w:line="216" w:lineRule="auto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pStyle w:val="970"/>
              <w:numPr>
                <w:ilvl w:val="0"/>
                <w:numId w:val="35"/>
              </w:numPr>
              <w:ind w:left="408" w:right="0" w:hanging="408"/>
              <w:jc w:val="both"/>
              <w:spacing w:line="21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ценка эффективности результатов обучения сотрудников по охране труда: взгляд обучающей организации. Досто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инства и недостатки различных форм обучения по охране труда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16" w:lineRule="auto"/>
              <w:rPr>
                <w:rFonts w:ascii="Arial" w:hAnsi="Arial" w:cs="Arial" w:eastAsiaTheme="minorHAnsi"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Э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ффективные методы внедрения единых типовых норм выдачи средств индивидуальной защиты</w:t>
            </w:r>
            <w:r>
              <w:rPr>
                <w:rFonts w:ascii="Arial" w:hAnsi="Arial" w:cs="Arial" w:eastAsiaTheme="minorHAnsi"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</w:p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70"/>
              <w:ind w:left="34"/>
              <w:jc w:val="both"/>
              <w:spacing w:line="216" w:lineRule="auto"/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Артем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Крылов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шеф-редактор портала ОТ Медиа, член экспертного центра по ESG-трансформации «Деловой России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70"/>
              <w:ind w:left="34"/>
              <w:jc w:val="both"/>
              <w:spacing w:line="216" w:lineRule="auto"/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16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34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Александр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Муравьев,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заместитель руководителя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Государственной инспекции труда в Чувашской Республике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970"/>
              <w:ind w:left="34"/>
              <w:jc w:val="both"/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34"/>
              <w:jc w:val="both"/>
              <w:spacing w:line="216" w:lineRule="auto"/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Георгий Пигузов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, начальник отдела нормирования обеспечения СИЗ группы компаний «Восток-Сервис»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70"/>
              <w:ind w:left="34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34"/>
              <w:jc w:val="both"/>
              <w:spacing w:line="216" w:lineRule="auto"/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Сергей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Максимов</w:t>
            </w:r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 xml:space="preserve">юрист,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 xml:space="preserve">эксперт в области охраны труда и трудового законодательства</w:t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Марина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Плешкова,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 xml:space="preserve">начальник отдела страхования профессиональных рисков  </w:t>
            </w:r>
            <w:r>
              <w:rPr>
                <w:rFonts w:ascii="Arial" w:hAnsi="Arial" w:cs="Arial"/>
                <w:sz w:val="22"/>
                <w:szCs w:val="22"/>
              </w:rPr>
              <w:t xml:space="preserve">Отделения Фонда пенсионно</w:t>
            </w:r>
            <w:r>
              <w:rPr>
                <w:rFonts w:ascii="Arial" w:hAnsi="Arial" w:cs="Arial"/>
                <w:sz w:val="22"/>
                <w:szCs w:val="22"/>
              </w:rPr>
              <w:t xml:space="preserve">го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социального страхова</w:t>
            </w:r>
            <w:r>
              <w:rPr>
                <w:rFonts w:ascii="Arial" w:hAnsi="Arial" w:cs="Arial"/>
                <w:sz w:val="22"/>
                <w:szCs w:val="22"/>
              </w:rPr>
              <w:t xml:space="preserve">ния Российской Федерации по Чувашской </w:t>
            </w:r>
            <w:r>
              <w:rPr>
                <w:rFonts w:ascii="Arial" w:hAnsi="Arial" w:cs="Arial"/>
                <w:sz w:val="22"/>
                <w:szCs w:val="22"/>
              </w:rPr>
              <w:t xml:space="preserve">Республике – Чувашии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highlight w:val="white"/>
              </w:rPr>
              <w:t xml:space="preserve">Кирилл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highlight w:val="white"/>
              </w:rPr>
              <w:t xml:space="preserve">Милюхин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white"/>
              </w:rPr>
              <w:t xml:space="preserve">преподаватель АНО ДПО «Учебный комбинат ПРОФСТАНДАРТ»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16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71"/>
        </w:trPr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119, </w:t>
              <w:br/>
              <w:t xml:space="preserve">1 этаж </w:t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16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2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jc w:val="both"/>
              <w:spacing w:line="216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Сохранение жизни и здоровья как основной приоритет государственного управления охраной труда. Использование результатов оценки профессиональных рисков и специальной оценки условий труда в основных процессах системы управления охраной труда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425"/>
              <w:jc w:val="both"/>
              <w:spacing w:line="216" w:lineRule="auto"/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line="216" w:lineRule="auto"/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</w:p>
          <w:p>
            <w:pPr>
              <w:ind w:left="0" w:right="0" w:firstLine="425"/>
              <w:jc w:val="both"/>
              <w:spacing w:line="216" w:lineRule="auto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none"/>
                <w:u w:val="singl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Культура безопасности и Лидерство. Семь ключевых элементов лидерства в культуре безопасности</w:t>
            </w:r>
            <w:r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i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НейроАудитор - как с помощью ИИ за 5 секунд сделать динамическую оценку рисков по фотографии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16" w:lineRule="auto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овая методика СОУТ: что нужно знать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Практический опыт обучения работников применению СИЗ от экспертов «Техноавиа»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408" w:right="0" w:firstLine="0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36"/>
              </w:numPr>
              <w:ind w:left="408" w:right="0" w:hanging="408"/>
              <w:jc w:val="both"/>
              <w:spacing w:line="216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Аутсорсинг, как инструмент оптимизации функционирования процесса обеспечения работников средствами индивидуальной защиты в рамках СУОТ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70"/>
              <w:ind w:left="34"/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Артур Вознарович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тренер-методолог по производственной безопасности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970"/>
              <w:ind w:left="34"/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70"/>
              <w:jc w:val="both"/>
              <w:spacing w:line="223" w:lineRule="auto"/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0"/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Артур Вознарович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тренер-методолог по производственной безопасности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нат Фатхутдинов</w:t>
            </w:r>
            <w:r>
              <w:rPr>
                <w:rFonts w:ascii="Arial" w:hAnsi="Arial" w:cs="Arial" w:eastAsiaTheme="minorHAnsi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директор ЦОТ «АйТехноПро»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Надежда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Кондратьева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начальник испытательной лаборатории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ООО "Центр охраны труда «Эталон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Алмаз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Касимов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руководитель отдела услуг ООО «Техноавиа-Казань»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970"/>
              <w:ind w:left="0" w:right="0" w:firstLine="0"/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137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</w:rPr>
              <w:t xml:space="preserve">1 этаж</w:t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3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0" w:right="0" w:firstLine="0"/>
              <w:jc w:val="both"/>
              <w:spacing w:before="0" w:line="223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Совершенствование медицинских осмотров, диспансерного наблюдения: состояние, проблемы и перспекти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вы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Корпоративные программы по сохранению и укреплению здоровья работников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62"/>
              <w:jc w:val="both"/>
              <w:spacing w:before="0" w:beforeAutospacing="0" w:after="0" w:afterAutospacing="0" w:line="223" w:lineRule="auto"/>
              <w:shd w:val="clear" w:color="auto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  <w:outlineLvl w:val="0"/>
            </w:pP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line="223" w:lineRule="auto"/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b w:val="0"/>
                <w:bCs w:val="0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spacing w:line="223" w:lineRule="auto"/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</w:p>
          <w:p>
            <w:pPr>
              <w:pStyle w:val="970"/>
              <w:numPr>
                <w:ilvl w:val="0"/>
                <w:numId w:val="9"/>
              </w:numPr>
              <w:jc w:val="both"/>
              <w:spacing w:line="223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орядок проведения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медосмотров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, как организовывать проведение медосмотров в соответствии с новыми требованиями.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 Особенности дистанционных медосмотров: как и с кем проводить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spacing w:line="223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23" w:lineRule="auto"/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Переход на Единые типовые нормы СИЗ для медицинских работников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spacing w:line="223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23" w:lineRule="auto"/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Н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ормативное регулирование организации обучения и оказания первой помощи в организации. Изменения в законодательстве. Проблемные вопросы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spacing w:line="223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14"/>
              </w:numPr>
              <w:jc w:val="both"/>
              <w:spacing w:line="223" w:lineRule="auto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  <w:t xml:space="preserve">П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рактическая сессия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«Первая помощь в охране труда, последние изменения и перспективы! Методика обучения сердечно-легочной реанимации – быстро и просто!»</w:t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  <w:p>
            <w:pPr>
              <w:ind w:left="0" w:firstLine="0"/>
              <w:jc w:val="both"/>
              <w:spacing w:line="223" w:lineRule="auto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pP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972"/>
              <w:jc w:val="both"/>
              <w:spacing w:line="223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Модератор: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:lang w:eastAsia="ru-RU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non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Наталия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Петрова</w:t>
            </w:r>
            <w:r>
              <w:rPr>
                <w:rFonts w:ascii="Arial" w:hAnsi="Arial" w:cs="Arial" w:eastAsiaTheme="minorHAnsi"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Arial" w:hAnsi="Arial" w:cs="Arial" w:eastAsiaTheme="minorHAnsi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:lang w:eastAsia="ru-RU"/>
              </w:rPr>
              <w:t xml:space="preserve">заместитель руководителя Межрегионального управления № 59 ФМБА России – начальник территориального отдела – главный государственный санитарный врач по организациям, обслуживаемым ФМБА России на территории г. Новочебоксарска Чувашской Республики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Александр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Дерягин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:lang w:eastAsia="ru-RU"/>
              </w:rPr>
              <w:t xml:space="preserve">,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:lang w:eastAsia="ru-RU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ве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дующий отделением медицинских осмотров - врач-профпатолог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«Республиканская клиническая больница»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Минздрава Чувашии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Ольга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Максимова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директор ЧОУ ДПО «Безопасность труда» 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Александр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Павлов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аведующий отделом по организационно-методической работе и медицинской статистике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–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 врач-методист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22"/>
                <w:szCs w:val="22"/>
                <w:highlight w:val="white"/>
              </w:rPr>
              <w:t xml:space="preserve">БУ «Республиканский центр медицины катастроф и скорой медицинской помощи» Минздрава Чувашии</w:t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Cs/>
                <w:i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i/>
                <w:iCs/>
                <w:color w:val="000000"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282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11.45 –</w:t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  <w:t xml:space="preserve"> 13.30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</w:rPr>
            </w:r>
          </w:p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  <w:t xml:space="preserve">кабинет 214,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Cs/>
                <w:i/>
                <w:sz w:val="25"/>
                <w:szCs w:val="25"/>
                <w:highlight w:val="white"/>
                <w:lang w:eastAsia="ru-RU"/>
                <w14:ligatures w14:val="none"/>
              </w:rPr>
            </w:r>
          </w:p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i/>
                <w:i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i/>
                <w:iCs/>
                <w:sz w:val="25"/>
                <w:szCs w:val="25"/>
                <w:highlight w:val="none"/>
                <w:lang w:eastAsia="ru-RU"/>
              </w:rPr>
              <w:t xml:space="preserve">2 этаж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Секция № 4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4"/>
                <w:szCs w:val="4"/>
                <w:highlight w:val="white"/>
                <w:u w:val="single"/>
                <w14:ligatures w14:val="none"/>
              </w:rPr>
            </w:r>
          </w:p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Перспективные направления в регулировании промышленной безопасности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line="223" w:lineRule="auto"/>
              <w:shd w:val="clear" w:color="ffffff" w:fill="ffffff"/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outlineLvl w:val="0"/>
            </w:pPr>
            <w:r>
              <w:rPr>
                <w:rFonts w:ascii="Arial" w:hAnsi="Arial" w:cs="Arial"/>
                <w:b/>
                <w:bCs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spacing w:line="204" w:lineRule="auto"/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  <w:lang w:eastAsia="ru-RU"/>
              </w:rPr>
              <w:t xml:space="preserve">Планируются к обсуждению следующие вопросы:</w:t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  <w:u w:val="single"/>
              </w:rPr>
            </w:r>
          </w:p>
          <w:p>
            <w:pPr>
              <w:ind w:left="360" w:firstLine="0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зменения в правилах аттестации по промышленной безопасности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. Какие категории работников направлять </w:t>
              <w:br/>
              <w:t xml:space="preserve">на аттестацию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8"/>
              </w:numPr>
              <w:ind w:left="408" w:right="0" w:hanging="408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Обеспечение пожарной безопасности в организации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right="0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14"/>
              </w:numPr>
              <w:jc w:val="both"/>
              <w:spacing w:line="204" w:lineRule="auto"/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управлять безопасностью производства в цифровую эпоху</w:t>
            </w:r>
            <w:r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i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360" w:firstLine="0"/>
              <w:jc w:val="both"/>
              <w:spacing w:line="204" w:lineRule="auto"/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pStyle w:val="970"/>
              <w:numPr>
                <w:ilvl w:val="0"/>
                <w:numId w:val="14"/>
              </w:numPr>
              <w:jc w:val="both"/>
              <w:spacing w:line="204" w:lineRule="auto"/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Мастер-класс: </w:t>
            </w:r>
            <w:r>
              <w:rPr>
                <w:rFonts w:ascii="Arial" w:hAnsi="Arial" w:cs="Arial" w:eastAsiaTheme="minorHAnsi"/>
                <w:sz w:val="25"/>
                <w:szCs w:val="25"/>
                <w:highlight w:val="white"/>
              </w:rPr>
              <w:t xml:space="preserve">как разработать программы производственного контроля на базе результатов СОУТ 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  <w14:ligatures w14:val="none"/>
              </w:rPr>
            </w:r>
          </w:p>
          <w:p>
            <w:pPr>
              <w:ind w:left="0" w:firstLine="0"/>
              <w:jc w:val="both"/>
              <w:spacing w:line="204" w:lineRule="auto"/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Theme="minorHAnsi"/>
                <w:b/>
                <w:bCs/>
                <w:i/>
                <w:iCs/>
                <w:sz w:val="25"/>
                <w:szCs w:val="25"/>
                <w:highlight w:val="whit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/>
                <w:sz w:val="25"/>
                <w:szCs w:val="25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pStyle w:val="972"/>
              <w:jc w:val="both"/>
              <w:spacing w:line="223" w:lineRule="auto"/>
              <w:rPr>
                <w:rFonts w:ascii="Arial" w:hAnsi="Arial" w:cs="Arial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23" w:lineRule="auto"/>
              <w:rPr>
                <w:rFonts w:ascii="Arial" w:hAnsi="Arial" w:cs="Arial" w:eastAsiaTheme="minorHAnsi"/>
                <w:b/>
                <w:bCs/>
                <w:iCs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Модератор: </w:t>
            </w:r>
            <w:r>
              <w:rPr>
                <w:rFonts w:ascii="Arial" w:hAnsi="Arial" w:cs="Arial" w:eastAsiaTheme="minorHAnsi"/>
                <w:b/>
                <w:bCs/>
                <w:i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iCs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360" w:firstLine="0"/>
              <w:jc w:val="both"/>
              <w:spacing w:line="223" w:lineRule="auto"/>
              <w:rPr>
                <w:rFonts w:ascii="Arial" w:hAnsi="Arial" w:cs="Arial" w:eastAsiaTheme="minorHAnsi"/>
                <w:b/>
                <w:bCs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/>
                <w:bCs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23" w:lineRule="auto"/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Эдуард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Гилязев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 ПАО «Химпром»</w:t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Спикеры:</w:t>
            </w: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/>
                <w:b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Эдуард</w:t>
            </w:r>
            <w:r>
              <w:rPr>
                <w:rFonts w:ascii="Arial" w:hAnsi="Arial" w:cs="Arial"/>
                <w:b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Гилязев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начальник управления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промышленной, пожарной безопасности и охраны  труда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 ПАО «Химпром»</w:t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Дмитрий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Пуш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ки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Arial" w:hAnsi="Arial" w:eastAsia="Arial" w:cs="Arial"/>
                <w:color w:val="2c2d2e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тарший инспектор ОНДиПР по </w:t>
              <w:br/>
              <w:t xml:space="preserve">г. Чебоксары УНДиПР Главного управления МЧС России по Чувашской Республике — Чувашии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>
          <w:trHeight w:val="310"/>
        </w:trPr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3" w:lineRule="auto"/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Дмитрий </w:t>
            </w:r>
            <w:r>
              <w:rPr>
                <w:rFonts w:ascii="Arial" w:hAnsi="Arial" w:cs="Arial" w:eastAsiaTheme="minorHAnsi"/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Земченков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ведущий специалист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Функциональная группа коммерческого пресейла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Филиал ПАО «МТС» в Чувашской Республике - Чувашии </w:t>
            </w: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Публичное акционерное общество «МобильныеТелеСистемы»</w:t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 w:eastAsiaTheme="minorHAnsi"/>
                <w:b w:val="0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23" w:lineRule="auto"/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Arial" w:hAnsi="Arial" w:cs="Arial" w:eastAsiaTheme="minorHAnsi"/>
                <w:b w:val="0"/>
                <w:bCs w:val="0"/>
                <w:i/>
                <w:iCs/>
                <w:sz w:val="10"/>
                <w:szCs w:val="1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Arial" w:hAnsi="Arial" w:cs="Arial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color w:val="0033cc"/>
                <w:sz w:val="25"/>
                <w:szCs w:val="25"/>
                <w:highlight w:val="white"/>
              </w:rPr>
            </w:r>
          </w:p>
        </w:tc>
        <w:tc>
          <w:tcPr>
            <w:tcW w:w="7371" w:type="dxa"/>
            <w:vMerge w:val="restar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Arial" w:hAnsi="Arial" w:cs="Arial"/>
                <w:b/>
                <w:sz w:val="25"/>
                <w:szCs w:val="25"/>
                <w:highlight w:val="white"/>
              </w:rPr>
            </w:pPr>
            <w:r>
              <w:rPr>
                <w:rFonts w:ascii="Arial" w:hAnsi="Arial" w:cs="Arial"/>
                <w:b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  <w:r>
              <w:rPr>
                <w:rFonts w:ascii="Arial" w:hAnsi="Arial" w:cs="Arial"/>
                <w:b/>
                <w:sz w:val="25"/>
                <w:szCs w:val="25"/>
                <w:highlight w:val="white"/>
              </w:rPr>
            </w:r>
          </w:p>
        </w:tc>
      </w:tr>
    </w:tbl>
    <w:p>
      <w:pPr>
        <w:jc w:val="center"/>
        <w:spacing w:line="228" w:lineRule="auto"/>
        <w:rPr>
          <w:highlight w:val="none"/>
          <w:lang w:eastAsia="ru-RU"/>
        </w:rPr>
      </w:pPr>
      <w:r>
        <w:rPr>
          <w:highlight w:val="white"/>
          <w:lang w:eastAsia="ru-RU"/>
        </w:rPr>
        <w:t xml:space="preserve">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333333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63"/>
    <w:link w:val="962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61"/>
    <w:next w:val="961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basedOn w:val="963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1"/>
    <w:next w:val="961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3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1"/>
    <w:next w:val="961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3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1"/>
    <w:next w:val="961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3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1"/>
    <w:next w:val="961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3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1"/>
    <w:next w:val="961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3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1"/>
    <w:next w:val="961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3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1"/>
    <w:next w:val="96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3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before="0" w:after="0" w:line="240" w:lineRule="auto"/>
    </w:pPr>
  </w:style>
  <w:style w:type="paragraph" w:styleId="804">
    <w:name w:val="Title"/>
    <w:basedOn w:val="961"/>
    <w:next w:val="961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63"/>
    <w:link w:val="804"/>
    <w:uiPriority w:val="10"/>
    <w:rPr>
      <w:sz w:val="48"/>
      <w:szCs w:val="48"/>
    </w:rPr>
  </w:style>
  <w:style w:type="paragraph" w:styleId="806">
    <w:name w:val="Subtitle"/>
    <w:basedOn w:val="961"/>
    <w:next w:val="961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63"/>
    <w:link w:val="806"/>
    <w:uiPriority w:val="11"/>
    <w:rPr>
      <w:sz w:val="24"/>
      <w:szCs w:val="24"/>
    </w:rPr>
  </w:style>
  <w:style w:type="paragraph" w:styleId="808">
    <w:name w:val="Quote"/>
    <w:basedOn w:val="961"/>
    <w:next w:val="961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1"/>
    <w:next w:val="961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paragraph" w:styleId="812">
    <w:name w:val="Header"/>
    <w:basedOn w:val="961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Header Char"/>
    <w:basedOn w:val="963"/>
    <w:link w:val="812"/>
    <w:uiPriority w:val="99"/>
  </w:style>
  <w:style w:type="paragraph" w:styleId="814">
    <w:name w:val="Footer"/>
    <w:basedOn w:val="961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basedOn w:val="963"/>
    <w:link w:val="814"/>
    <w:uiPriority w:val="99"/>
  </w:style>
  <w:style w:type="paragraph" w:styleId="816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 Light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Grid Table 4 - Accent 1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7">
    <w:name w:val="Grid Table 4 - Accent 2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Grid Table 4 - Accent 3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9">
    <w:name w:val="Grid Table 4 - Accent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Grid Table 4 - Accent 5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Grid Table 4 - Accent 6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Grid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9">
    <w:name w:val="Grid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0">
    <w:name w:val="Grid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1">
    <w:name w:val="Grid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2">
    <w:name w:val="Grid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3">
    <w:name w:val="Grid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4">
    <w:name w:val="Grid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1">
    <w:name w:val="List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2">
    <w:name w:val="List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3">
    <w:name w:val="List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4">
    <w:name w:val="List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5">
    <w:name w:val="List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6">
    <w:name w:val="List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9">
    <w:name w:val="List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0">
    <w:name w:val="List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List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2">
    <w:name w:val="List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List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4">
    <w:name w:val="List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5">
    <w:name w:val="List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6">
    <w:name w:val="List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7">
    <w:name w:val="List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8">
    <w:name w:val="List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9">
    <w:name w:val="List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0">
    <w:name w:val="List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1">
    <w:name w:val="List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2">
    <w:name w:val="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 &amp; 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Bordered &amp; 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Bordered &amp; 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Bordered &amp; 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Bordered &amp; 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Bordered &amp; 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Bordered &amp; 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7">
    <w:name w:val="Bordered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8">
    <w:name w:val="Bordered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9">
    <w:name w:val="Bordered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0">
    <w:name w:val="Bordered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1">
    <w:name w:val="Bordered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2">
    <w:name w:val="Bordered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3">
    <w:name w:val="Hyperlink"/>
    <w:uiPriority w:val="99"/>
    <w:unhideWhenUsed/>
    <w:rPr>
      <w:color w:val="0000ff" w:themeColor="hyperlink"/>
      <w:u w:val="single"/>
    </w:r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3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3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qFormat/>
  </w:style>
  <w:style w:type="paragraph" w:styleId="962">
    <w:name w:val="Heading 1"/>
    <w:basedOn w:val="961"/>
    <w:link w:val="97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>
    <w:name w:val="Balloon Text"/>
    <w:basedOn w:val="961"/>
    <w:link w:val="9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basedOn w:val="963"/>
    <w:link w:val="966"/>
    <w:uiPriority w:val="99"/>
    <w:semiHidden/>
    <w:rPr>
      <w:rFonts w:ascii="Tahoma" w:hAnsi="Tahoma" w:cs="Tahoma"/>
      <w:sz w:val="16"/>
      <w:szCs w:val="16"/>
    </w:rPr>
  </w:style>
  <w:style w:type="table" w:styleId="968">
    <w:name w:val="Table Grid"/>
    <w:basedOn w:val="9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Normal (Web)"/>
    <w:basedOn w:val="96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>
    <w:name w:val="List Paragraph"/>
    <w:basedOn w:val="96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1" w:customStyle="1">
    <w:name w:val="Заголовок 1 Знак"/>
    <w:basedOn w:val="963"/>
    <w:link w:val="96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72">
    <w:name w:val="Plain Text"/>
    <w:basedOn w:val="961"/>
    <w:link w:val="973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styleId="973" w:customStyle="1">
    <w:name w:val="Текст Знак"/>
    <w:basedOn w:val="963"/>
    <w:link w:val="972"/>
    <w:uiPriority w:val="99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20B-92B8-4ABB-8867-7637B2E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Ларионов</dc:creator>
  <cp:keywords/>
  <dc:description/>
  <cp:revision>114</cp:revision>
  <dcterms:created xsi:type="dcterms:W3CDTF">2023-04-07T10:37:00Z</dcterms:created>
  <dcterms:modified xsi:type="dcterms:W3CDTF">2025-04-23T06:20:27Z</dcterms:modified>
</cp:coreProperties>
</file>