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48" w:rsidRPr="004F3353" w:rsidRDefault="00441848" w:rsidP="003C2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 резервах повышения эффективности использования бюджетных средств и государственного (муниципального) имущества</w:t>
      </w:r>
    </w:p>
    <w:p w:rsidR="00441848" w:rsidRPr="004F3353" w:rsidRDefault="00441848" w:rsidP="003C2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B7307" w:rsidRPr="004F3353" w:rsidRDefault="003C2977" w:rsidP="003C2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</w:t>
      </w:r>
      <w:r w:rsidR="00441848"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Уважаемый Михаил </w:t>
      </w:r>
      <w:r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Геннадьевич</w:t>
      </w:r>
      <w:r w:rsidR="00441848"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 участники заседания!</w:t>
      </w:r>
    </w:p>
    <w:p w:rsidR="003C2977" w:rsidRPr="004F3353" w:rsidRDefault="003C2977" w:rsidP="00441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819" w:rsidRPr="004F3353" w:rsidRDefault="009C5F9B" w:rsidP="00792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резервы для муниципал</w:t>
      </w:r>
      <w:r w:rsidR="0041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итетов </w:t>
      </w:r>
      <w:r w:rsidR="00B060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Чувашской Республики</w:t>
      </w:r>
      <w:r w:rsidR="00F8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КСП)</w:t>
      </w:r>
      <w:r w:rsidR="00B06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старается показать через проводимые экспертные и контрольные мероприятия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Своевременные управленческие </w:t>
      </w:r>
      <w:r w:rsidR="00FD0B7E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изучение Правил -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B7E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более эффективно расходовать</w:t>
      </w:r>
      <w:r w:rsidR="003C2977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</w:t>
      </w:r>
      <w:r w:rsidR="00DE12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2977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DE12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D0B7E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муниципалитетами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6741" w:rsidRPr="004F3353" w:rsidRDefault="00706741" w:rsidP="007928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контрольных и экс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пертно-аналитических мероприятий</w:t>
      </w:r>
      <w:r w:rsidR="00FD0B7E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B7E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проведенные 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</w:t>
      </w:r>
      <w:r w:rsidR="00FD0B7E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(нарушения).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3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 на отдельных итогах.</w:t>
      </w:r>
    </w:p>
    <w:p w:rsidR="00441848" w:rsidRPr="004F3353" w:rsidRDefault="00CD551C" w:rsidP="004418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DE12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.</w:t>
      </w:r>
      <w:r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Ф</w:t>
      </w:r>
      <w:r w:rsidR="00441848"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ормировани</w:t>
      </w:r>
      <w:r w:rsidR="00DE12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</w:t>
      </w:r>
      <w:r w:rsidR="00441848"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и расходовани</w:t>
      </w:r>
      <w:r w:rsidR="00DE12D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</w:t>
      </w:r>
      <w:r w:rsidR="00441848"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средств </w:t>
      </w:r>
      <w:r w:rsidR="00706741"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муниципальных </w:t>
      </w:r>
      <w:r w:rsidR="00441848"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дорожных фондов</w:t>
      </w:r>
      <w:r w:rsidR="00F87D1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  <w:r w:rsidR="00441848" w:rsidRPr="004F335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установлено следующее.</w:t>
      </w:r>
    </w:p>
    <w:p w:rsidR="00CD551C" w:rsidRPr="004F3353" w:rsidRDefault="00CD551C" w:rsidP="00CD5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аналогичное мероприятие проводилось в 2021 году (</w:t>
      </w:r>
      <w:r w:rsidRPr="004F3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города Канаш, Новочебоксарск, Алатырь, Шумерля</w:t>
      </w:r>
      <w:r w:rsidR="005E06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проблемы сохраняются и сегодня. </w:t>
      </w:r>
    </w:p>
    <w:p w:rsidR="00706741" w:rsidRPr="004F3353" w:rsidRDefault="00CD551C" w:rsidP="00CD5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Напомню, что н</w:t>
      </w:r>
      <w:r w:rsidR="00706741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паспортизацию и диагностику автомобильных дорог общего пользования местного значения в границах муниципального района республика выделяла </w:t>
      </w:r>
      <w:r w:rsidR="00CC179A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субсидию.</w:t>
      </w:r>
    </w:p>
    <w:p w:rsidR="00792819" w:rsidRPr="004F3353" w:rsidRDefault="00CC179A" w:rsidP="00CD5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34C2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повторные выборочные проверки показали, что работа по уточнению протяженности объектов муниципальной собственности по результатам диагностики и оценки технического состояния автомобильных </w:t>
      </w:r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</w:t>
      </w:r>
      <w:r w:rsidR="007034C2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муниципальными образованиями</w:t>
      </w:r>
      <w:r w:rsidR="00F8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МО) </w:t>
      </w:r>
      <w:r w:rsidRPr="00FD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="007034C2" w:rsidRPr="00FD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настояще</w:t>
      </w:r>
      <w:r w:rsidR="00F8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7034C2" w:rsidRPr="00FD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</w:t>
      </w:r>
      <w:r w:rsidR="00F8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</w:t>
      </w:r>
      <w:r w:rsidR="007034C2" w:rsidRPr="00FD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проведена </w:t>
      </w:r>
      <w:r w:rsidR="00CD551C" w:rsidRPr="00FD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должным образом</w:t>
      </w:r>
      <w:r w:rsidR="00F87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D551C" w:rsidRPr="00FD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34C2" w:rsidRPr="00FD0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не завершена</w:t>
      </w:r>
      <w:r w:rsidR="007034C2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51C" w:rsidRPr="004F3353" w:rsidRDefault="00CD551C" w:rsidP="00CD5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установлено, что МО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 к учету 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автомобильные дороги с некорректной протяженностью в 11 МО, 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свою очередь уже привело к последствиям, в том числе</w:t>
      </w:r>
      <w:r w:rsid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2819" w:rsidRPr="00FD0F17" w:rsidRDefault="00792819" w:rsidP="00CD5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6 муниципалитетам излишне выделено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республиканского</w:t>
      </w:r>
      <w:r w:rsidR="00F8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на 2,1 </w:t>
      </w:r>
      <w:proofErr w:type="gramStart"/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AD3B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FD0F17" w:rsidRP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551C" w:rsidRPr="00FD0F17" w:rsidRDefault="00792819" w:rsidP="00CD5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 МО </w:t>
      </w:r>
      <w:r w:rsidR="00441848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 произведена оплата по муниципальным контрактам по содержанию автомобильных дорог в границах муниципального район</w:t>
      </w:r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общую сумму 2,6 </w:t>
      </w:r>
      <w:proofErr w:type="gramStart"/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в связи с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некорректным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формированием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задания на </w:t>
      </w:r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CD551C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из-за не правильной протяженности</w:t>
      </w:r>
      <w:r w:rsidR="00FD0F17" w:rsidRP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2819" w:rsidRPr="004F3353" w:rsidRDefault="00CD551C" w:rsidP="00253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того, остается вопрос учета автом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обильных дорог и сооружений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 муниципальных образованиях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="00D513EE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5 не организован учет 235 оста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новочных павильонов и 29 мостов и 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 муниципальных образованиях не при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няты к бухгалтерскому учету 77 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протяж</w:t>
      </w:r>
      <w:r w:rsidR="00C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енностью 205,5 км</w:t>
      </w:r>
      <w:r w:rsidR="00D513EE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муниципальной собственнос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56 </w:t>
      </w:r>
      <w:r w:rsidR="00792819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протяженностью 131,1 км;</w:t>
      </w:r>
      <w:proofErr w:type="gramEnd"/>
    </w:p>
    <w:p w:rsidR="001B462D" w:rsidRDefault="00D513EE" w:rsidP="00F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КСП </w:t>
      </w:r>
      <w:r w:rsidR="004374DA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выборочный анализ 123 муниципальных контрактов на выполнение работ по содержанию автомобильных дорог общего пользования местного значения вне границ населенных пунктов в </w:t>
      </w:r>
      <w:r w:rsidR="004374DA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границах муниципальных округов за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ключаемые на три года</w:t>
      </w:r>
      <w:r w:rsidR="004374DA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размещенных в ЕИС в сфере закупок товаров, работ, ус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луг, который показал следующее. </w:t>
      </w:r>
    </w:p>
    <w:p w:rsidR="004374DA" w:rsidRPr="00253EAA" w:rsidRDefault="004374DA" w:rsidP="00FD0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проверенных выборочно 123 контрактов</w:t>
      </w:r>
      <w:r w:rsidR="00C35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контракты с подрядными организациями, являющимися плательщиками НДС, заключены 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в 8 случаях на общую сумму 82 260,8 тыс. рублей.</w:t>
      </w:r>
    </w:p>
    <w:p w:rsidR="004374DA" w:rsidRPr="004F3353" w:rsidRDefault="004374DA" w:rsidP="00F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115 муниципальных контрактов на общую сумму </w:t>
      </w:r>
      <w:r w:rsidRPr="004F33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1 680 744,2 тыс. рублей заключены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подрядными организациями,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специальных налоговых режимах (УСН).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4DA" w:rsidRPr="004F3353" w:rsidRDefault="004374DA" w:rsidP="00D51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47 случаях из 115 проверенных в связи с тем, что условиями заключенных контрактов предусмотрена твердая цена контракта, 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заказчиками и, соответственно, подрядчиками применен дополнительный коэффициен</w:t>
      </w:r>
      <w:r w:rsidR="00253EAA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доведения до цены контракта и 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FD0F17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на оплату работ </w:t>
      </w:r>
      <w:r w:rsidR="00FD0F17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D513EE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коэффициент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</w:t>
      </w:r>
      <w:r w:rsidR="00253EAA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до цены контракта 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расчетно</w:t>
      </w:r>
      <w:proofErr w:type="spellEnd"/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32 470</w:t>
      </w:r>
      <w:r w:rsidR="00D513EE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</w:t>
      </w:r>
      <w:r w:rsidR="00253EAA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3EE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AA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мнению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</w:t>
      </w:r>
      <w:r w:rsidR="001B462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это указывает 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</w:t>
      </w:r>
      <w:r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бюджетных средств и упуще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нная возможность муниципалитетами</w:t>
      </w:r>
      <w:r w:rsidR="00FD0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на дополнительные работы по содержанию дорог.</w:t>
      </w:r>
    </w:p>
    <w:p w:rsidR="00D513EE" w:rsidRPr="004F3353" w:rsidRDefault="00D513EE" w:rsidP="00F139E8">
      <w:pPr>
        <w:widowControl w:val="0"/>
        <w:suppressAutoHyphens/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13EE" w:rsidRPr="00253EAA" w:rsidRDefault="000E5ACF" w:rsidP="00FD0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513EE" w:rsidRPr="0025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D0F17" w:rsidRPr="0025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Второй блок мероприятий текущего года в рамках переданных полномочий касался организации работы </w:t>
      </w:r>
      <w:r w:rsidR="004F3353" w:rsidRPr="0025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Центров закупок,</w:t>
      </w:r>
      <w:r w:rsidR="00FD0F17" w:rsidRPr="0025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Централизованных бухгалтерий - </w:t>
      </w:r>
      <w:r w:rsidR="000708C0" w:rsidRPr="0025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КСП</w:t>
      </w:r>
      <w:r w:rsidR="00FD0F17" w:rsidRPr="00253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проводила проверки учреждений 7 муниципальных образованиях.</w:t>
      </w:r>
    </w:p>
    <w:p w:rsidR="000E5ACF" w:rsidRPr="004F3353" w:rsidRDefault="00D513EE" w:rsidP="004F33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сделаны выводы, что отдельными </w:t>
      </w:r>
      <w:r w:rsidR="000E5ACF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Администрациями муниципальных образований не принимались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управленческие </w:t>
      </w:r>
      <w:r w:rsidR="000E5ACF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по оптимизации численности работников и, соответстве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нно, расходов на их содержание, которые имеют</w:t>
      </w:r>
      <w:r w:rsidR="000E5ACF"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«признаки</w:t>
      </w:r>
      <w:r w:rsidR="000E5ACF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дублирования полномочий»</w:t>
      </w:r>
      <w:r w:rsidR="004F3353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централизации полномочий 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="004F3353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3353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9E8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в </w:t>
      </w:r>
      <w:r w:rsid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</w:t>
      </w:r>
      <w:r w:rsidR="004F3353" w:rsidRP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заключенных Соглашений, либо Положений</w:t>
      </w:r>
      <w:r w:rsidR="004F3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3EAA" w:rsidRDefault="005949CE" w:rsidP="00253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ыборочным анализом </w:t>
      </w:r>
      <w:proofErr w:type="gramStart"/>
      <w:r w:rsidRPr="00ED1B9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функционала работников сектора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proofErr w:type="gramEnd"/>
      <w:r w:rsidRPr="00ED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</w:t>
      </w:r>
      <w:r w:rsidRPr="005949CE">
        <w:t xml:space="preserve"> </w:t>
      </w:r>
      <w:r w:rsidRPr="00594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функции должностных лиц по закупкам, предусмотренные в должностных обязанностях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изменялись, </w:t>
      </w:r>
      <w:r w:rsidR="00ED1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</w:t>
      </w:r>
      <w:r w:rsid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остались только нек</w:t>
      </w:r>
      <w:r w:rsid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онкурентные процедуры</w:t>
      </w:r>
      <w:r w:rsidR="00ED1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продолжались доплаты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свидетельствует о </w:t>
      </w:r>
      <w:r w:rsidR="005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неэффективном распределени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0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 учреждения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560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документы, регулирующие муниципальные закуп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ки, изменения </w:t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вносились. </w:t>
      </w:r>
    </w:p>
    <w:p w:rsidR="00302BFF" w:rsidRPr="00253EAA" w:rsidRDefault="005E0622" w:rsidP="00253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5 муниципалитетах из 7</w:t>
      </w:r>
      <w:r w:rsid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проверенных, </w:t>
      </w:r>
      <w:r w:rsid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в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неправомерных 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и доплат на сумму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5 653,9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редотвращены (прекращены выплаты) – </w:t>
      </w:r>
      <w:r w:rsid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>3 189,9 тыс. рублей</w:t>
      </w:r>
      <w:r w:rsid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30374" w:rsidRDefault="00302BFF" w:rsidP="0030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Приведу отдельные примеры. </w:t>
      </w:r>
    </w:p>
    <w:p w:rsidR="00302BFF" w:rsidRPr="00253EAA" w:rsidRDefault="00253EAA" w:rsidP="0030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0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ыплата за расширение зоны обслуживания без учета содержания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дополнительной работы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BFF" w:rsidRPr="00302BFF" w:rsidRDefault="00253EAA" w:rsidP="0023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303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4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ыплаты работникам, занятым на тяжелых работах, работах с вредными и (или) опасными и иными особыми условиями труда в отсутствие 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специальной оценки условий труда или не предусмотренные отчетом о проведении специальной оценки труда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1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2BFF" w:rsidRPr="00253EAA" w:rsidRDefault="00253EAA" w:rsidP="00302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71B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104B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за должности, отсутствующие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штатном расписании</w:t>
      </w:r>
      <w:r w:rsidR="00DC71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04BE" w:rsidRPr="00F1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н-р </w:t>
      </w:r>
      <w:r w:rsidR="00F104BE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з</w:t>
      </w:r>
      <w:r w:rsidR="00F104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лжности курьер</w:t>
      </w:r>
      <w:r w:rsidR="00DC71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BFF" w:rsidRPr="00253EAA" w:rsidRDefault="00253EAA" w:rsidP="0023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C71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жемесячная надбавка к должностному окладу за напряженность и особые условия работы работникам, которым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анная надбавка не предусмотрена</w:t>
      </w:r>
      <w:r w:rsidRPr="00253E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4BE" w:rsidRPr="007733A6" w:rsidRDefault="007733A6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02BFF" w:rsidRPr="0030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неправомерные </w:t>
      </w:r>
      <w:r w:rsidR="00230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доплаты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МРОТ.</w:t>
      </w:r>
    </w:p>
    <w:p w:rsidR="00F104BE" w:rsidRDefault="00F104BE" w:rsidP="0023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 неоднократно отмечала, повторюсь, что нарушения по оплате труда допускаются в первую очередь из-за не соблюдения </w:t>
      </w: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же действующих локальных документов</w:t>
      </w:r>
      <w:r w:rsid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Положения об оплате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стимулирование работников учреждений – необходимо регулярно анализировать и корректировать.</w:t>
      </w:r>
    </w:p>
    <w:p w:rsidR="00230374" w:rsidRDefault="00230374" w:rsidP="0023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ACF" w:rsidRDefault="000E5ACF" w:rsidP="0023037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3</w:t>
      </w:r>
      <w:r w:rsidR="00792819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  <w:r w:rsidR="00792819" w:rsidRPr="00792819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  <w:t xml:space="preserve"> Муниципальными образованиями при использовании межбюджетных трансфертов, не соблюдаются правила и условия их предоставл</w:t>
      </w:r>
      <w:r w:rsidR="00F104BE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  <w:t>ения, в частности при использовани</w:t>
      </w:r>
      <w:r w:rsidR="00DC71B6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  <w:t>и</w:t>
      </w:r>
      <w:r w:rsidR="00F104BE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  <w:t xml:space="preserve"> средс</w:t>
      </w:r>
      <w:r w:rsidR="007733A6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  <w:t>тв на благоустройство дворов</w:t>
      </w:r>
      <w:r w:rsidR="00F104BE"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  <w:t>.</w:t>
      </w:r>
    </w:p>
    <w:p w:rsidR="00F104BE" w:rsidRPr="007733A6" w:rsidRDefault="00792819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819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F104BE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Напомню, </w:t>
      </w: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и распределения субсидий из республиканского бюджета Чувашской Республики бюджетам муниципальных</w:t>
      </w:r>
      <w:r w:rsidR="000E5ACF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и</w:t>
      </w: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округов </w:t>
      </w:r>
      <w:r w:rsidR="000E5ACF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максимального охвата </w:t>
      </w: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благоустройству дворовых территорий </w:t>
      </w:r>
      <w:r w:rsidR="000E5ACF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 2021 года были определены приоритеты</w:t>
      </w: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792819" w:rsidRPr="007733A6" w:rsidRDefault="00792819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- минимальный перечень видов работ по благоустройству, в который входят ремонт дворовых проездов, обеспечение освещения дворовых территорий, установка скамеек, урн;</w:t>
      </w:r>
    </w:p>
    <w:p w:rsidR="007733A6" w:rsidRDefault="00792819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- ремонт тротуаров вдоль дворовых проездов, благоустройство тротуаров, соединяющих дворовые территории с объектами социально-культурной сферы (школами, детскими садами, клубами, фельдшерско-акушерскими пунктами), и ремонт</w:t>
      </w:r>
      <w:r w:rsid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парковок.</w:t>
      </w:r>
    </w:p>
    <w:p w:rsidR="00792819" w:rsidRPr="007733A6" w:rsidRDefault="00792819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="000E5ACF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Правилах четко</w:t>
      </w: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отмечено, что проекты благоустройства могут включать в себя дополнительный перечень видов работ по благоустройству, в который входят оборудование детских и (или) спортивных площадок, автомобильных парковок, озеленение территорий, иные виды работ, финансирование которых осуществляется за счет средств бюджета муниципального образования и собственников помещений в многоквартирных домах, иных заинтересованных лиц.</w:t>
      </w:r>
      <w:proofErr w:type="gramEnd"/>
    </w:p>
    <w:p w:rsidR="00792819" w:rsidRPr="007733A6" w:rsidRDefault="00792819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результаты проведенного контрольного мероприятия показали, что муниципалитетами не соблюдаются вышеуказанные правила, и средства, поступившие из республиканского бюджета, направляются, в том числе  на оплату работ, включённых в дополнительный перечень, такие как:</w:t>
      </w:r>
    </w:p>
    <w:p w:rsidR="00792819" w:rsidRPr="007733A6" w:rsidRDefault="00792819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 территории (устройство газонов), - в 7 из 9 проверенных муниципальных образований. При этом в большинстве случаев результаты от проведенных работ по озеленению отсутствуют (газонная трава либо не взошла, либо посохла);</w:t>
      </w:r>
    </w:p>
    <w:p w:rsidR="00792819" w:rsidRPr="007733A6" w:rsidRDefault="00792819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строительство новых парковочных мест – в 3 из 9 проверенных муниципальных образований;</w:t>
      </w:r>
    </w:p>
    <w:p w:rsidR="00792819" w:rsidRPr="007733A6" w:rsidRDefault="00792819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металлических ограждений, дорожных знаков, </w:t>
      </w:r>
      <w:proofErr w:type="spellStart"/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коврочисток</w:t>
      </w:r>
      <w:proofErr w:type="spellEnd"/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сушилок для белья, а также строительство хозяйственных блоков – в 4-х</w:t>
      </w:r>
      <w:r w:rsid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9</w:t>
      </w: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муниципалитетах.</w:t>
      </w:r>
    </w:p>
    <w:p w:rsidR="007733A6" w:rsidRDefault="00792819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общая сумма финансовых нарушений </w:t>
      </w:r>
      <w:r w:rsidR="006D4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6D4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1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28,9 млн </w:t>
      </w:r>
      <w:bookmarkStart w:id="0" w:name="_GoBack"/>
      <w:bookmarkEnd w:id="0"/>
      <w:r w:rsidR="000E5ACF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6D45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0E5ACF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374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4F1E" w:rsidRPr="007733A6" w:rsidRDefault="007733A6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104BE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из причин сложившейся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04BE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КСП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то</w:t>
      </w:r>
      <w:r w:rsidR="006F71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администрации,</w:t>
      </w:r>
      <w:r w:rsidR="00F104BE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ГРБС </w:t>
      </w:r>
      <w:proofErr w:type="gramStart"/>
      <w:r w:rsidR="00F104BE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="00F104BE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 получателям (</w:t>
      </w:r>
      <w:r w:rsidR="00F104BE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подведомственным учреждениям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4F1E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отразили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4F1E"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республиканскими правилами.</w:t>
      </w:r>
    </w:p>
    <w:p w:rsidR="00F64F1E" w:rsidRPr="007733A6" w:rsidRDefault="00F64F1E" w:rsidP="007733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свое выступление, Контрольно-счетная палата Чувашской Республики предлагает включить в проект Протокола расширенного заседания Коллегии Минфина Чувашии следующие предложения:</w:t>
      </w:r>
    </w:p>
    <w:p w:rsidR="00F64F1E" w:rsidRPr="00F64F1E" w:rsidRDefault="00F64F1E" w:rsidP="00F6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муниципальным образованиям </w:t>
      </w:r>
      <w:r w:rsidRPr="00F6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инвентаризацию автомобильных дорог и сооружений на них, дорог общего пользования местного значения вне границ населенных пунктов в границах муниципальных округов и обеспечить их постановку на бухгалтерский учет, в реестре муниципальной собственности с учетом результатов диагностики и паспортизации;  </w:t>
      </w:r>
    </w:p>
    <w:p w:rsidR="00F64F1E" w:rsidRPr="007733A6" w:rsidRDefault="00F64F1E" w:rsidP="00F6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администрациям муниципальных образований (их подведомственным учреждениям) в целях исключения фактов дублирования полномочий</w:t>
      </w:r>
      <w:r w:rsid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централизации полномочий, своевременно вносить</w:t>
      </w: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соответствующие локальные документы;</w:t>
      </w:r>
    </w:p>
    <w:p w:rsidR="00F64F1E" w:rsidRDefault="00F64F1E" w:rsidP="00F6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муниципальным образованиям при использовании межбюджетных трансфертов, поступающих из республиканского бюджета Чувашской Республики, а также главными распорядителями бюджетных средств (уполномоченными органами администраций муниципальных образований, получателями бюджетных средств) при заключении соглашений с подведомственными учреждениями соблюдать правила и условия их предоставления (расходования). </w:t>
      </w:r>
    </w:p>
    <w:p w:rsidR="00F64F1E" w:rsidRPr="007733A6" w:rsidRDefault="00F64F1E" w:rsidP="00F6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374" w:rsidRPr="00F64F1E" w:rsidRDefault="00230374" w:rsidP="00F6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792819" w:rsidRPr="00792819" w:rsidRDefault="00792819" w:rsidP="00792819">
      <w:pPr>
        <w:suppressAutoHyphens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819" w:rsidRPr="004374DA" w:rsidRDefault="00792819" w:rsidP="00437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F64F1E" w:rsidRDefault="00F64F1E" w:rsidP="00F64F1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</w:p>
    <w:p w:rsidR="00F64F1E" w:rsidRDefault="00F64F1E" w:rsidP="00F64F1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</w:p>
    <w:p w:rsidR="00F64F1E" w:rsidRDefault="00F64F1E" w:rsidP="00F64F1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</w:p>
    <w:p w:rsidR="00F64F1E" w:rsidRDefault="00F64F1E" w:rsidP="00F64F1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</w:p>
    <w:p w:rsidR="00F64F1E" w:rsidRDefault="00F64F1E" w:rsidP="007733A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</w:p>
    <w:p w:rsidR="00F64F1E" w:rsidRDefault="00F64F1E" w:rsidP="007733A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</w:p>
    <w:p w:rsidR="00F64F1E" w:rsidRDefault="00F64F1E" w:rsidP="00F64F1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kern w:val="2"/>
          <w:sz w:val="28"/>
          <w:szCs w:val="28"/>
          <w:lang w:eastAsia="hi-IN" w:bidi="hi-IN"/>
        </w:rPr>
      </w:pPr>
    </w:p>
    <w:p w:rsidR="00441848" w:rsidRPr="00441848" w:rsidRDefault="00441848" w:rsidP="00441848">
      <w:pPr>
        <w:ind w:left="-284"/>
        <w:rPr>
          <w:rFonts w:ascii="Times New Roman" w:hAnsi="Times New Roman" w:cs="Times New Roman"/>
          <w:sz w:val="32"/>
          <w:szCs w:val="32"/>
        </w:rPr>
      </w:pPr>
    </w:p>
    <w:sectPr w:rsidR="00441848" w:rsidRPr="0044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C78"/>
    <w:multiLevelType w:val="hybridMultilevel"/>
    <w:tmpl w:val="E91A0676"/>
    <w:lvl w:ilvl="0" w:tplc="994A18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2A7B49"/>
    <w:multiLevelType w:val="hybridMultilevel"/>
    <w:tmpl w:val="D758E32E"/>
    <w:lvl w:ilvl="0" w:tplc="597EC96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4E"/>
    <w:rsid w:val="000708C0"/>
    <w:rsid w:val="000E5ACF"/>
    <w:rsid w:val="00152C02"/>
    <w:rsid w:val="001B462D"/>
    <w:rsid w:val="00230374"/>
    <w:rsid w:val="00253EAA"/>
    <w:rsid w:val="00292863"/>
    <w:rsid w:val="002D3F4E"/>
    <w:rsid w:val="00302BFF"/>
    <w:rsid w:val="003C2977"/>
    <w:rsid w:val="004153DB"/>
    <w:rsid w:val="004374DA"/>
    <w:rsid w:val="00441848"/>
    <w:rsid w:val="004F3353"/>
    <w:rsid w:val="0056087F"/>
    <w:rsid w:val="005949CE"/>
    <w:rsid w:val="005E0622"/>
    <w:rsid w:val="006347AD"/>
    <w:rsid w:val="006427E3"/>
    <w:rsid w:val="006B53C2"/>
    <w:rsid w:val="006D4539"/>
    <w:rsid w:val="006F71E2"/>
    <w:rsid w:val="007034C2"/>
    <w:rsid w:val="00706741"/>
    <w:rsid w:val="007733A6"/>
    <w:rsid w:val="00792819"/>
    <w:rsid w:val="007D57C9"/>
    <w:rsid w:val="008D5C4E"/>
    <w:rsid w:val="009C5F9B"/>
    <w:rsid w:val="00AD3BD1"/>
    <w:rsid w:val="00B03C0A"/>
    <w:rsid w:val="00B0603A"/>
    <w:rsid w:val="00C35B4B"/>
    <w:rsid w:val="00C96745"/>
    <w:rsid w:val="00CC179A"/>
    <w:rsid w:val="00CD551C"/>
    <w:rsid w:val="00D513EE"/>
    <w:rsid w:val="00D810D8"/>
    <w:rsid w:val="00DC71B6"/>
    <w:rsid w:val="00DE12D7"/>
    <w:rsid w:val="00ED1B96"/>
    <w:rsid w:val="00F104BE"/>
    <w:rsid w:val="00F139E8"/>
    <w:rsid w:val="00F37ED9"/>
    <w:rsid w:val="00F64F1E"/>
    <w:rsid w:val="00F87D13"/>
    <w:rsid w:val="00FB7307"/>
    <w:rsid w:val="00FC693F"/>
    <w:rsid w:val="00FD0B7E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СИ</dc:creator>
  <cp:lastModifiedBy>Власова ММ</cp:lastModifiedBy>
  <cp:revision>7</cp:revision>
  <cp:lastPrinted>2023-08-08T13:54:00Z</cp:lastPrinted>
  <dcterms:created xsi:type="dcterms:W3CDTF">2023-08-15T07:57:00Z</dcterms:created>
  <dcterms:modified xsi:type="dcterms:W3CDTF">2023-08-15T10:39:00Z</dcterms:modified>
</cp:coreProperties>
</file>