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0CA" w:rsidRDefault="00137BE7">
      <w:pPr>
        <w:widowControl w:val="0"/>
        <w:spacing w:line="283" w:lineRule="atLeast"/>
        <w:contextualSpacing/>
        <w:jc w:val="center"/>
        <w:rPr>
          <w:b/>
          <w:bCs/>
          <w:sz w:val="28"/>
          <w:szCs w:val="28"/>
        </w:rPr>
      </w:pPr>
      <w:r>
        <w:rPr>
          <w:rFonts w:eastAsia="PT Astra Serif"/>
          <w:b/>
          <w:color w:val="000000"/>
          <w:sz w:val="28"/>
          <w:szCs w:val="28"/>
          <w:lang w:bidi="en-US"/>
        </w:rPr>
        <w:t>О ходе реализации на территории Чувашской Республики программы «Земский тренер»</w:t>
      </w:r>
    </w:p>
    <w:p w:rsidR="00C300CA" w:rsidRDefault="00C300CA">
      <w:pPr>
        <w:jc w:val="center"/>
        <w:rPr>
          <w:rFonts w:ascii="PT Astra Serif" w:hAnsi="PT Astra Serif" w:cs="PT Astra Serif"/>
          <w:b/>
          <w:bCs/>
          <w:color w:val="000000"/>
          <w:sz w:val="26"/>
          <w:szCs w:val="26"/>
        </w:rPr>
      </w:pP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firstLine="709"/>
        <w:jc w:val="both"/>
        <w:rPr>
          <w:rFonts w:eastAsia="Tinos"/>
          <w:color w:val="000000" w:themeColor="text1"/>
          <w:sz w:val="26"/>
          <w:szCs w:val="26"/>
        </w:rPr>
      </w:pPr>
      <w:r>
        <w:rPr>
          <w:rFonts w:eastAsia="Tinos"/>
          <w:color w:val="000000" w:themeColor="text1"/>
          <w:sz w:val="26"/>
          <w:szCs w:val="26"/>
        </w:rPr>
        <w:t xml:space="preserve">По поручению Президента Российской Федерации В.В. Путина в Российской Федерации стартовала </w:t>
      </w:r>
      <w:r>
        <w:rPr>
          <w:rFonts w:eastAsia="Tinos"/>
          <w:color w:val="000000" w:themeColor="text1"/>
          <w:sz w:val="26"/>
          <w:szCs w:val="26"/>
        </w:rPr>
        <w:t>программа «Земский тренер». В 2026 году программа начала действовать и в Чувашии. В её рамках работники сферы физической культуры и спорта, переехавшие на работу в небольшие населённые пункты с числом жителей до 50 тысяч человек, смогут получать единовреме</w:t>
      </w:r>
      <w:r>
        <w:rPr>
          <w:rFonts w:eastAsia="Tinos"/>
          <w:color w:val="000000" w:themeColor="text1"/>
          <w:sz w:val="26"/>
          <w:szCs w:val="26"/>
        </w:rPr>
        <w:t>нные компенсационные выплаты в размере 1 млн.  рублей.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firstLine="709"/>
        <w:jc w:val="both"/>
        <w:rPr>
          <w:bCs/>
          <w:i/>
          <w:sz w:val="26"/>
          <w:szCs w:val="26"/>
        </w:rPr>
      </w:pPr>
      <w:r>
        <w:rPr>
          <w:sz w:val="26"/>
          <w:szCs w:val="26"/>
        </w:rPr>
        <w:t>На 2026 год на реализацию данной программы выделено 12 миллионов рублей, из которых 11 миллионов 880 тысяч рублей – это средства федерального бюджета, 120 тысяч рублей – средства республиканского бюдже</w:t>
      </w:r>
      <w:r>
        <w:rPr>
          <w:sz w:val="26"/>
          <w:szCs w:val="26"/>
        </w:rPr>
        <w:t xml:space="preserve">та Чувашской Республики. 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Таким образом, выделенный на 2026 год объем финансирования позволит привлечь на работу в малые населенные пункты 12 специалистов сферы физической культуры и спорта. 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firstLine="709"/>
        <w:jc w:val="both"/>
        <w:rPr>
          <w:bCs/>
          <w:i/>
          <w:sz w:val="26"/>
          <w:szCs w:val="26"/>
        </w:rPr>
      </w:pPr>
      <w:r>
        <w:rPr>
          <w:sz w:val="26"/>
          <w:szCs w:val="26"/>
        </w:rPr>
        <w:t>Единовременная выплата предоставляется при замещении вакантной д</w:t>
      </w:r>
      <w:r>
        <w:rPr>
          <w:sz w:val="26"/>
          <w:szCs w:val="26"/>
        </w:rPr>
        <w:t xml:space="preserve">олжности, включенной в перечень, утвержденный Кабинетом Министров Чувашской Республики. 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Перечень должностей сформирован на основании данных об имеющихся в муниципальных физкультурно-спортивных организациях вакантных должностях, представленных администрац</w:t>
      </w:r>
      <w:r>
        <w:rPr>
          <w:sz w:val="26"/>
          <w:szCs w:val="26"/>
        </w:rPr>
        <w:t>иями муниципальных округов и включает в себя четыре должности:</w:t>
      </w:r>
    </w:p>
    <w:p w:rsidR="00C300CA" w:rsidRDefault="00137BE7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Инструктор по спорту;</w:t>
      </w:r>
    </w:p>
    <w:p w:rsidR="00C300CA" w:rsidRDefault="00137BE7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Инструктор по физической культуре;</w:t>
      </w:r>
    </w:p>
    <w:p w:rsidR="00C300CA" w:rsidRDefault="00137BE7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Тренер-преподаватель;</w:t>
      </w:r>
    </w:p>
    <w:p w:rsidR="00C300CA" w:rsidRDefault="00137BE7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Тренер-преподаватель по спорту.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64" w:lineRule="auto"/>
        <w:ind w:firstLine="709"/>
        <w:jc w:val="both"/>
        <w:rPr>
          <w:bCs/>
          <w:i/>
          <w:sz w:val="26"/>
          <w:szCs w:val="26"/>
        </w:rPr>
      </w:pPr>
      <w:r>
        <w:rPr>
          <w:rFonts w:eastAsia="Tinos"/>
          <w:color w:val="000000" w:themeColor="text1"/>
          <w:sz w:val="26"/>
          <w:szCs w:val="26"/>
        </w:rPr>
        <w:t>Конкурсный отбор претендентов осуществляется Минспортом</w:t>
      </w:r>
      <w:r>
        <w:rPr>
          <w:rFonts w:eastAsia="Tinos"/>
          <w:color w:val="000000" w:themeColor="text1"/>
          <w:sz w:val="26"/>
          <w:szCs w:val="26"/>
        </w:rPr>
        <w:t xml:space="preserve"> Чувашии на основании представленных ими документов. Региональным оператором по сбору документов определен Центр финансового обеспечения учреждений физической культуры и спорта.</w:t>
      </w:r>
      <w:r>
        <w:rPr>
          <w:rFonts w:eastAsia="Tinos"/>
          <w:bCs/>
          <w:i/>
          <w:color w:val="000000" w:themeColor="text1"/>
          <w:sz w:val="26"/>
          <w:szCs w:val="26"/>
        </w:rPr>
        <w:t xml:space="preserve">  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firstLine="709"/>
        <w:jc w:val="both"/>
        <w:rPr>
          <w:rFonts w:eastAsia="Tinos"/>
          <w:color w:val="000000" w:themeColor="text1"/>
          <w:sz w:val="26"/>
          <w:szCs w:val="26"/>
        </w:rPr>
      </w:pPr>
      <w:r>
        <w:rPr>
          <w:bCs/>
          <w:sz w:val="26"/>
          <w:szCs w:val="26"/>
        </w:rPr>
        <w:t xml:space="preserve">Важно отметить, что </w:t>
      </w:r>
      <w:r>
        <w:rPr>
          <w:rFonts w:eastAsia="Tinos"/>
          <w:color w:val="000000" w:themeColor="text1"/>
          <w:sz w:val="26"/>
          <w:szCs w:val="26"/>
        </w:rPr>
        <w:t xml:space="preserve">возрастные ограничения для участия в программе «Земский тренер» отсутствуют, также как и отсутствуют ограничения по направлениям расходования выплаты, полученной по данной программе. 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Претендовать на поддержку могут граждане России, имеющие высшее или среднее профессиональное образование в сфере физкультуры и спорта. 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 отбору также допущены студенты последних курсов профильных учебных заведений по ходатайству своего вуза или колледжа.</w:t>
      </w:r>
    </w:p>
    <w:p w:rsidR="00C300CA" w:rsidRDefault="00C300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Конкурсный отбор претендентов на право получения выплаты в 2026 году проведен. Из 20 претендентов, подавших заявки на участие в конкурсе, определены 12 победителей. На текущий момент 8 человек из числа победителей заключили трудовые договора с ф</w:t>
      </w:r>
      <w:r>
        <w:rPr>
          <w:rFonts w:eastAsia="Calibri"/>
          <w:sz w:val="26"/>
          <w:szCs w:val="26"/>
          <w:lang w:eastAsia="en-US"/>
        </w:rPr>
        <w:t xml:space="preserve">изкультурно-спортивными организациями следующих муниципальных округов: Ибресинский, Канашский, Комсомольский, Мариинско-Посадский, Моргаушский, Цивильский и Чебоксарский. В ближайшее время еще 2 </w:t>
      </w:r>
      <w:r>
        <w:rPr>
          <w:rFonts w:eastAsia="Calibri"/>
          <w:sz w:val="26"/>
          <w:szCs w:val="26"/>
          <w:lang w:eastAsia="en-US"/>
        </w:rPr>
        <w:lastRenderedPageBreak/>
        <w:t>человека заключат трудовые договора  с организациями Красноче</w:t>
      </w:r>
      <w:r>
        <w:rPr>
          <w:rFonts w:eastAsia="Calibri"/>
          <w:sz w:val="26"/>
          <w:szCs w:val="26"/>
          <w:lang w:eastAsia="en-US"/>
        </w:rPr>
        <w:t xml:space="preserve">тайского и Урмарского муниципальных округов. 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В связи с отказом заключения трудовых договоров с физкультурно-спортивными организациями 2 человек из числа победителей по определенным причинам в ближайшее время будет объявлен дополнительный конкурсный отбор.</w:t>
      </w:r>
      <w:r>
        <w:rPr>
          <w:rFonts w:eastAsia="Calibri"/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На текущий момент проводится работа с муниципальными образованиями по актуализации имеющихся вакансий в целях проведения дополнительного конкурсного отбора.</w:t>
      </w:r>
    </w:p>
    <w:p w:rsidR="00C300CA" w:rsidRDefault="00137BE7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Перечнем поручений по итогам совещания с членами Правительства, утвержденного Пре</w:t>
      </w:r>
      <w:r>
        <w:rPr>
          <w:sz w:val="26"/>
          <w:szCs w:val="26"/>
        </w:rPr>
        <w:t xml:space="preserve">зидентом Российской Федерации 16.09.2025 </w:t>
      </w:r>
      <w:r>
        <w:rPr>
          <w:sz w:val="26"/>
          <w:szCs w:val="26"/>
        </w:rPr>
        <w:br/>
        <w:t>№ Пр-2085, рекомендовано организовать мониторинг эффективности реализации программы «Земский тренер» и обеспечить оказание дополнительных мер поддержки, в том числе адресных, участникам таких программ, включая обес</w:t>
      </w:r>
      <w:r>
        <w:rPr>
          <w:sz w:val="26"/>
          <w:szCs w:val="26"/>
        </w:rPr>
        <w:t>печение приезжающих специалистов служебным жильем.</w:t>
      </w:r>
    </w:p>
    <w:p w:rsidR="00C300CA" w:rsidRDefault="00137BE7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Также Кабинетом Министров Чувашской Республики рекомендовано органам местного самоуправления Чувашской Республики принять дополнительные меры по привлечению работников физической культуры и спорта в муници</w:t>
      </w:r>
      <w:r>
        <w:rPr>
          <w:sz w:val="26"/>
          <w:szCs w:val="26"/>
        </w:rPr>
        <w:t>пальные учреждения, включая первоочередное предоставление жилых помещений муниципального жилищного фонда.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Программа «Земский тренер» является важной мерой для привлечения в малые города и сельские населенные пункты квалифицированных специалистов в области </w:t>
      </w:r>
      <w:r>
        <w:rPr>
          <w:sz w:val="26"/>
          <w:szCs w:val="26"/>
        </w:rPr>
        <w:t xml:space="preserve">спорта, что в среднесрочной перспективе позволит повысить удовлетворенность жителей нашей республики созданными условиями для занятий спортом. </w:t>
      </w:r>
    </w:p>
    <w:p w:rsidR="00C300CA" w:rsidRDefault="00C300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sz w:val="26"/>
          <w:szCs w:val="26"/>
        </w:rPr>
      </w:pPr>
    </w:p>
    <w:p w:rsidR="00C300CA" w:rsidRDefault="00C300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sz w:val="26"/>
          <w:szCs w:val="26"/>
        </w:rPr>
      </w:pPr>
    </w:p>
    <w:p w:rsidR="00C300CA" w:rsidRDefault="00C300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sz w:val="26"/>
          <w:szCs w:val="26"/>
        </w:rPr>
      </w:pP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b/>
          <w:i/>
          <w:sz w:val="26"/>
          <w:szCs w:val="26"/>
          <w:u w:val="single"/>
        </w:rPr>
      </w:pPr>
      <w:r>
        <w:rPr>
          <w:b/>
          <w:i/>
          <w:sz w:val="26"/>
          <w:szCs w:val="26"/>
          <w:u w:val="single"/>
        </w:rPr>
        <w:t>Справочно: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82" w:lineRule="atLeast"/>
        <w:ind w:firstLine="709"/>
        <w:jc w:val="both"/>
        <w:rPr>
          <w:bCs/>
          <w:i/>
          <w:sz w:val="26"/>
          <w:szCs w:val="26"/>
        </w:rPr>
      </w:pPr>
      <w:r>
        <w:rPr>
          <w:i/>
          <w:iCs/>
          <w:sz w:val="26"/>
          <w:szCs w:val="26"/>
        </w:rPr>
        <w:t>Критерии отбора: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82" w:lineRule="atLeast"/>
        <w:ind w:firstLine="709"/>
        <w:jc w:val="both"/>
        <w:rPr>
          <w:bCs/>
          <w:i/>
          <w:sz w:val="26"/>
          <w:szCs w:val="26"/>
        </w:rPr>
      </w:pPr>
      <w:r>
        <w:rPr>
          <w:i/>
          <w:iCs/>
          <w:sz w:val="26"/>
          <w:szCs w:val="26"/>
        </w:rPr>
        <w:t>наличие высшего образования в сфере спорта – 20 баллов;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82" w:lineRule="atLeast"/>
        <w:ind w:firstLine="709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наличие среднего проф. об</w:t>
      </w:r>
      <w:r>
        <w:rPr>
          <w:i/>
          <w:iCs/>
          <w:sz w:val="26"/>
          <w:szCs w:val="26"/>
        </w:rPr>
        <w:t>разования в сфере спорта – 15 баллов;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82" w:lineRule="atLeast"/>
        <w:ind w:firstLine="709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наличие ходатайства вуза в отношении студента – 15 баллов.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82" w:lineRule="atLeast"/>
        <w:ind w:firstLine="709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наличие ходатайства ссуза в отношении студента – 10 баллов.</w:t>
      </w:r>
    </w:p>
    <w:p w:rsidR="00C300CA" w:rsidRDefault="00C300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82" w:lineRule="atLeast"/>
        <w:ind w:firstLine="709"/>
        <w:jc w:val="both"/>
        <w:rPr>
          <w:i/>
          <w:iCs/>
          <w:sz w:val="26"/>
          <w:szCs w:val="26"/>
        </w:rPr>
      </w:pP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82" w:lineRule="atLeast"/>
        <w:ind w:firstLine="709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Дополнительные критерии (если 2 или более претендента набрали равное количество баллов):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82" w:lineRule="atLeast"/>
        <w:ind w:firstLine="709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наличие дополнительного профессионального образования претендента и (или) прохождение им профессионального обучения – 1 балл;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82" w:lineRule="atLeast"/>
        <w:ind w:firstLine="709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наличие у претендента ученой степени и (или) почетного звания по основному профилю профессиональной деятельности – 1 балл;</w:t>
      </w: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251"/>
        </w:tabs>
        <w:spacing w:line="282" w:lineRule="atLeast"/>
        <w:ind w:firstLine="709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наличие</w:t>
      </w:r>
      <w:r>
        <w:rPr>
          <w:i/>
          <w:iCs/>
          <w:sz w:val="26"/>
          <w:szCs w:val="26"/>
        </w:rPr>
        <w:t xml:space="preserve"> иных заслуг и достижений претендента в сфере физической культуры и спорта (дипломы, грамоты, сертификаты, свидетельства, статьи, отзывы, благодарственные письма, рекомендательные письма и иные документы) –  1 балл.</w:t>
      </w:r>
    </w:p>
    <w:p w:rsidR="00C300CA" w:rsidRDefault="00C300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i/>
          <w:iCs/>
          <w:sz w:val="26"/>
          <w:szCs w:val="26"/>
        </w:rPr>
      </w:pPr>
    </w:p>
    <w:p w:rsidR="00C300CA" w:rsidRDefault="00137B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lastRenderedPageBreak/>
        <w:t>Победители конкурса после объявления ит</w:t>
      </w:r>
      <w:r>
        <w:rPr>
          <w:i/>
          <w:iCs/>
          <w:sz w:val="26"/>
          <w:szCs w:val="26"/>
        </w:rPr>
        <w:t>огов должны заключить трудовые договоры (в течение 10 рабочих дней) с соответствующей организацией.</w:t>
      </w:r>
    </w:p>
    <w:p w:rsidR="00C300CA" w:rsidRDefault="00C300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i/>
          <w:iCs/>
          <w:sz w:val="26"/>
          <w:szCs w:val="26"/>
        </w:rPr>
      </w:pPr>
    </w:p>
    <w:p w:rsidR="00C300CA" w:rsidRDefault="00137BE7">
      <w:pPr>
        <w:ind w:firstLine="283"/>
        <w:rPr>
          <w:rFonts w:ascii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 xml:space="preserve">      Условия предоставления выплаты:</w:t>
      </w:r>
    </w:p>
    <w:p w:rsidR="00C300CA" w:rsidRDefault="00137BE7">
      <w:pPr>
        <w:ind w:firstLine="708"/>
        <w:rPr>
          <w:rFonts w:ascii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- победа в конкурсном отборе;</w:t>
      </w:r>
    </w:p>
    <w:p w:rsidR="00C300CA" w:rsidRDefault="00137BE7">
      <w:pPr>
        <w:ind w:firstLine="708"/>
        <w:rPr>
          <w:rFonts w:ascii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- согласие победителя на переезд;</w:t>
      </w:r>
    </w:p>
    <w:p w:rsidR="00C300CA" w:rsidRDefault="00137BE7">
      <w:pPr>
        <w:ind w:firstLine="708"/>
        <w:rPr>
          <w:rFonts w:ascii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- наличие в организации вакантной  должности;</w:t>
      </w:r>
    </w:p>
    <w:p w:rsidR="00C300CA" w:rsidRDefault="00137BE7">
      <w:pPr>
        <w:ind w:firstLine="708"/>
        <w:rPr>
          <w:rFonts w:ascii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- заключение трудового договора на  следующих условиях:</w:t>
      </w:r>
    </w:p>
    <w:p w:rsidR="00C300CA" w:rsidRDefault="00137BE7">
      <w:pPr>
        <w:ind w:left="709"/>
        <w:rPr>
          <w:rFonts w:ascii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 xml:space="preserve">   срок – 5 лет</w:t>
      </w:r>
    </w:p>
    <w:p w:rsidR="00C300CA" w:rsidRDefault="00137BE7">
      <w:pPr>
        <w:ind w:left="709"/>
        <w:rPr>
          <w:rFonts w:ascii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 xml:space="preserve">   полный рабочий день</w:t>
      </w:r>
    </w:p>
    <w:p w:rsidR="00C300CA" w:rsidRDefault="00137BE7">
      <w:pPr>
        <w:ind w:left="709"/>
        <w:rPr>
          <w:rFonts w:ascii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 xml:space="preserve">   должность из перечня вакансий;</w:t>
      </w:r>
    </w:p>
    <w:p w:rsidR="00C300CA" w:rsidRDefault="00137BE7">
      <w:pPr>
        <w:ind w:firstLine="708"/>
        <w:rPr>
          <w:rFonts w:ascii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- заключение договора о предоставлении  выплаты.</w:t>
      </w:r>
    </w:p>
    <w:p w:rsidR="00C300CA" w:rsidRDefault="00C300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sz w:val="26"/>
          <w:szCs w:val="26"/>
        </w:rPr>
      </w:pPr>
    </w:p>
    <w:p w:rsidR="00C300CA" w:rsidRDefault="00137BE7">
      <w:pPr>
        <w:ind w:firstLine="708"/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Основания для отказа в заключении договора:</w:t>
      </w:r>
    </w:p>
    <w:p w:rsidR="00C300CA" w:rsidRDefault="00137BE7">
      <w:pPr>
        <w:ind w:firstLine="708"/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- недостоверные сведения в документах претендента;</w:t>
      </w:r>
    </w:p>
    <w:p w:rsidR="00C300CA" w:rsidRDefault="00137BE7">
      <w:pPr>
        <w:ind w:firstLine="708"/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- непредставление (несвоевременное) документов для получения выплаты.</w:t>
      </w:r>
    </w:p>
    <w:p w:rsidR="00C300CA" w:rsidRDefault="00C300CA">
      <w:pPr>
        <w:ind w:firstLine="708"/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</w:pPr>
    </w:p>
    <w:p w:rsidR="00C300CA" w:rsidRDefault="00137BE7">
      <w:pPr>
        <w:ind w:firstLine="708"/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Основания для возврата субсидии получателем:</w:t>
      </w:r>
    </w:p>
    <w:p w:rsidR="00C300CA" w:rsidRDefault="00137BE7">
      <w:pPr>
        <w:ind w:firstLine="708"/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- незаключение трудового договора с физкультурно-спортивной организацией;</w:t>
      </w:r>
    </w:p>
    <w:p w:rsidR="00C300CA" w:rsidRDefault="00137BE7">
      <w:pPr>
        <w:ind w:firstLine="708"/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- работы в долж</w:t>
      </w: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ности менее 5 лет;</w:t>
      </w:r>
    </w:p>
    <w:p w:rsidR="00C300CA" w:rsidRDefault="00137BE7">
      <w:pPr>
        <w:ind w:firstLine="708"/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>- увольнение;</w:t>
      </w:r>
    </w:p>
    <w:p w:rsidR="00C300CA" w:rsidRDefault="00137BE7">
      <w:pPr>
        <w:ind w:firstLine="708"/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 xml:space="preserve">- призыв на военную службу. Есть вариант продления срока договора о выплате. </w:t>
      </w:r>
    </w:p>
    <w:p w:rsidR="00C300CA" w:rsidRDefault="00137BE7">
      <w:pPr>
        <w:ind w:firstLine="708"/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</w:pPr>
      <w:r>
        <w:rPr>
          <w:rFonts w:ascii="Tinos" w:eastAsia="Tinos" w:hAnsi="Tinos" w:cs="Tinos"/>
          <w:i/>
          <w:iCs/>
          <w:color w:val="000000" w:themeColor="text1"/>
          <w:sz w:val="26"/>
          <w:szCs w:val="26"/>
        </w:rPr>
        <w:t xml:space="preserve">Возврат – в течение 30 дней со дня получения претендентом требования Министерства. </w:t>
      </w:r>
    </w:p>
    <w:p w:rsidR="00C300CA" w:rsidRDefault="00C300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rPr>
          <w:b/>
          <w:bCs/>
          <w:sz w:val="26"/>
          <w:szCs w:val="26"/>
        </w:rPr>
      </w:pPr>
    </w:p>
    <w:p w:rsidR="00C300CA" w:rsidRDefault="00C300CA">
      <w:pPr>
        <w:pBdr>
          <w:top w:val="none" w:sz="4" w:space="0" w:color="000000"/>
          <w:left w:val="none" w:sz="4" w:space="0" w:color="000000"/>
          <w:bottom w:val="none" w:sz="4" w:space="3" w:color="000000"/>
          <w:right w:val="none" w:sz="4" w:space="0" w:color="000000"/>
        </w:pBdr>
        <w:spacing w:line="283" w:lineRule="atLeast"/>
        <w:ind w:firstLine="709"/>
        <w:jc w:val="both"/>
        <w:rPr>
          <w:b/>
          <w:bCs/>
          <w:sz w:val="26"/>
          <w:szCs w:val="26"/>
          <w:u w:val="single"/>
        </w:rPr>
      </w:pPr>
    </w:p>
    <w:p w:rsidR="00C300CA" w:rsidRDefault="00C300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709"/>
        <w:jc w:val="both"/>
        <w:rPr>
          <w:sz w:val="26"/>
          <w:szCs w:val="26"/>
        </w:rPr>
      </w:pPr>
    </w:p>
    <w:sectPr w:rsidR="00C300CA">
      <w:headerReference w:type="even" r:id="rId7"/>
      <w:headerReference w:type="default" r:id="rId8"/>
      <w:pgSz w:w="11906" w:h="16838"/>
      <w:pgMar w:top="851" w:right="850" w:bottom="110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BE7" w:rsidRDefault="00137BE7">
      <w:r>
        <w:separator/>
      </w:r>
    </w:p>
  </w:endnote>
  <w:endnote w:type="continuationSeparator" w:id="0">
    <w:p w:rsidR="00137BE7" w:rsidRDefault="0013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no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BE7" w:rsidRDefault="00137BE7">
      <w:r>
        <w:separator/>
      </w:r>
    </w:p>
  </w:footnote>
  <w:footnote w:type="continuationSeparator" w:id="0">
    <w:p w:rsidR="00137BE7" w:rsidRDefault="00137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0CA" w:rsidRDefault="00137BE7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C300CA" w:rsidRDefault="00C300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0CA" w:rsidRDefault="00137BE7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 w:rsidR="005E1B1D">
      <w:rPr>
        <w:rStyle w:val="aff0"/>
        <w:noProof/>
      </w:rPr>
      <w:t>2</w:t>
    </w:r>
    <w:r>
      <w:rPr>
        <w:rStyle w:val="aff0"/>
      </w:rPr>
      <w:fldChar w:fldCharType="end"/>
    </w:r>
  </w:p>
  <w:p w:rsidR="00C300CA" w:rsidRDefault="00C300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84B85"/>
    <w:multiLevelType w:val="hybridMultilevel"/>
    <w:tmpl w:val="D256D9EC"/>
    <w:lvl w:ilvl="0" w:tplc="74F2F9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F712AAE"/>
    <w:multiLevelType w:val="hybridMultilevel"/>
    <w:tmpl w:val="190AF922"/>
    <w:lvl w:ilvl="0" w:tplc="28EE9D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767B88">
      <w:start w:val="1"/>
      <w:numFmt w:val="lowerLetter"/>
      <w:lvlText w:val="%2."/>
      <w:lvlJc w:val="left"/>
      <w:pPr>
        <w:ind w:left="1789" w:hanging="360"/>
      </w:pPr>
    </w:lvl>
    <w:lvl w:ilvl="2" w:tplc="B02AE25E">
      <w:start w:val="1"/>
      <w:numFmt w:val="lowerRoman"/>
      <w:lvlText w:val="%3."/>
      <w:lvlJc w:val="right"/>
      <w:pPr>
        <w:ind w:left="2509" w:hanging="180"/>
      </w:pPr>
    </w:lvl>
    <w:lvl w:ilvl="3" w:tplc="B97A373E">
      <w:start w:val="1"/>
      <w:numFmt w:val="decimal"/>
      <w:lvlText w:val="%4."/>
      <w:lvlJc w:val="left"/>
      <w:pPr>
        <w:ind w:left="3229" w:hanging="360"/>
      </w:pPr>
    </w:lvl>
    <w:lvl w:ilvl="4" w:tplc="B4C474B2">
      <w:start w:val="1"/>
      <w:numFmt w:val="lowerLetter"/>
      <w:lvlText w:val="%5."/>
      <w:lvlJc w:val="left"/>
      <w:pPr>
        <w:ind w:left="3949" w:hanging="360"/>
      </w:pPr>
    </w:lvl>
    <w:lvl w:ilvl="5" w:tplc="2F9AAF72">
      <w:start w:val="1"/>
      <w:numFmt w:val="lowerRoman"/>
      <w:lvlText w:val="%6."/>
      <w:lvlJc w:val="right"/>
      <w:pPr>
        <w:ind w:left="4669" w:hanging="180"/>
      </w:pPr>
    </w:lvl>
    <w:lvl w:ilvl="6" w:tplc="4698A0F0">
      <w:start w:val="1"/>
      <w:numFmt w:val="decimal"/>
      <w:lvlText w:val="%7."/>
      <w:lvlJc w:val="left"/>
      <w:pPr>
        <w:ind w:left="5389" w:hanging="360"/>
      </w:pPr>
    </w:lvl>
    <w:lvl w:ilvl="7" w:tplc="8C5AD6C6">
      <w:start w:val="1"/>
      <w:numFmt w:val="lowerLetter"/>
      <w:lvlText w:val="%8."/>
      <w:lvlJc w:val="left"/>
      <w:pPr>
        <w:ind w:left="6109" w:hanging="360"/>
      </w:pPr>
    </w:lvl>
    <w:lvl w:ilvl="8" w:tplc="1D6CFD7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0CA"/>
    <w:rsid w:val="00137BE7"/>
    <w:rsid w:val="005E1B1D"/>
    <w:rsid w:val="00C3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07615C-61C1-4E35-993E-519474A3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rFonts w:cs="Times New Roman"/>
      <w:b/>
      <w:bCs/>
      <w:color w:val="FF3300"/>
      <w:u w:val="non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link w:val="13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link w:val="33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Arial" w:hAnsi="Arial" w:cs="Arial"/>
      <w:b/>
      <w:bCs/>
      <w:sz w:val="32"/>
      <w:szCs w:val="32"/>
    </w:rPr>
  </w:style>
  <w:style w:type="paragraph" w:styleId="afa">
    <w:name w:val="Body Text"/>
    <w:basedOn w:val="a"/>
    <w:link w:val="afb"/>
    <w:pPr>
      <w:spacing w:line="360" w:lineRule="auto"/>
      <w:jc w:val="both"/>
    </w:pPr>
    <w:rPr>
      <w:sz w:val="28"/>
      <w:szCs w:val="20"/>
    </w:rPr>
  </w:style>
  <w:style w:type="character" w:customStyle="1" w:styleId="afb">
    <w:name w:val="Основной текст Знак"/>
    <w:link w:val="afa"/>
    <w:rPr>
      <w:rFonts w:cs="Times New Roman"/>
      <w:sz w:val="28"/>
    </w:rPr>
  </w:style>
  <w:style w:type="character" w:styleId="afc">
    <w:name w:val="Strong"/>
    <w:qFormat/>
    <w:rPr>
      <w:b/>
    </w:rPr>
  </w:style>
  <w:style w:type="character" w:customStyle="1" w:styleId="20">
    <w:name w:val="Заголовок 2 Знак"/>
    <w:link w:val="2"/>
    <w:semiHidden/>
    <w:rPr>
      <w:rFonts w:ascii="Cambria" w:hAnsi="Cambria" w:cs="Times New Roman"/>
      <w:b/>
      <w:bCs/>
      <w:color w:val="4F81BD"/>
      <w:sz w:val="26"/>
      <w:szCs w:val="26"/>
    </w:rPr>
  </w:style>
  <w:style w:type="paragraph" w:styleId="afd">
    <w:name w:val="Normal (Web)"/>
    <w:basedOn w:val="a"/>
    <w:uiPriority w:val="99"/>
    <w:pPr>
      <w:spacing w:before="100" w:beforeAutospacing="1" w:after="100" w:afterAutospacing="1"/>
    </w:pPr>
  </w:style>
  <w:style w:type="character" w:styleId="afe">
    <w:name w:val="Emphasis"/>
    <w:qFormat/>
    <w:rPr>
      <w:rFonts w:cs="Times New Roman"/>
      <w:i/>
      <w:iCs/>
    </w:rPr>
  </w:style>
  <w:style w:type="character" w:customStyle="1" w:styleId="62">
    <w:name w:val="Верхний колонтитул Знак;Знак6 Знак"/>
    <w:rPr>
      <w:rFonts w:ascii="Times New Roman" w:hAnsi="Times New Roman"/>
      <w:sz w:val="20"/>
      <w:lang w:val="en-US" w:eastAsia="ar-SA" w:bidi="ar-SA"/>
    </w:rPr>
  </w:style>
  <w:style w:type="paragraph" w:customStyle="1" w:styleId="aff">
    <w:name w:val="Основной"/>
    <w:basedOn w:val="a"/>
    <w:pPr>
      <w:ind w:firstLine="709"/>
      <w:jc w:val="both"/>
    </w:pPr>
    <w:rPr>
      <w:sz w:val="26"/>
      <w:lang w:eastAsia="ar-SA"/>
    </w:rPr>
  </w:style>
  <w:style w:type="character" w:styleId="aff0">
    <w:name w:val="page number"/>
    <w:basedOn w:val="a0"/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styleId="aff1">
    <w:name w:val="Balloon Text"/>
    <w:basedOn w:val="a"/>
    <w:link w:val="aff2"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link w:val="aff1"/>
    <w:rPr>
      <w:rFonts w:ascii="Segoe UI" w:hAnsi="Segoe UI" w:cs="Segoe UI"/>
      <w:sz w:val="18"/>
      <w:szCs w:val="18"/>
    </w:rPr>
  </w:style>
  <w:style w:type="paragraph" w:customStyle="1" w:styleId="211">
    <w:name w:val="Основной текст 2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right="4818"/>
      <w:jc w:val="both"/>
    </w:pPr>
    <w:rPr>
      <w:b/>
      <w:bCs/>
      <w:sz w:val="26"/>
      <w:szCs w:val="24"/>
      <w:lang w:eastAsia="ru-RU"/>
    </w:rPr>
  </w:style>
  <w:style w:type="paragraph" w:customStyle="1" w:styleId="14">
    <w:name w:val="Обычный (веб)1"/>
    <w:basedOn w:val="a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</w:style>
  <w:style w:type="paragraph" w:customStyle="1" w:styleId="15">
    <w:name w:val="Обычный (веб)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3">
    <w:name w:val="Оглавление 1 Знак"/>
    <w:link w:val="1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6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33">
    <w:name w:val="Оглавление 3 Знак"/>
    <w:link w:val="32"/>
    <w:uiPriority w:val="39"/>
    <w:rPr>
      <w:rFonts w:ascii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240" w:line="293" w:lineRule="exact"/>
      <w:jc w:val="both"/>
    </w:pPr>
    <w:rPr>
      <w:rFonts w:eastAsia="Microsoft Sans Serif"/>
      <w:color w:val="000000"/>
      <w:sz w:val="26"/>
      <w:szCs w:val="26"/>
      <w:lang w:eastAsia="ru-RU"/>
    </w:rPr>
  </w:style>
  <w:style w:type="paragraph" w:customStyle="1" w:styleId="16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ind w:firstLine="400"/>
    </w:pPr>
    <w:rPr>
      <w:color w:val="000000"/>
      <w:sz w:val="26"/>
      <w:szCs w:val="26"/>
      <w:lang w:bidi="ru-RU"/>
    </w:rPr>
  </w:style>
  <w:style w:type="character" w:customStyle="1" w:styleId="aff3">
    <w:name w:val="Основной текст_"/>
    <w:rPr>
      <w:rFonts w:ascii="Times New Roman" w:eastAsia="Times New Roman" w:hAnsi="Times New Roman" w:cs="Times New Roman"/>
      <w:sz w:val="26"/>
      <w:szCs w:val="26"/>
      <w:lang w:val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863</Words>
  <Characters>4925</Characters>
  <Application>Microsoft Office Word</Application>
  <DocSecurity>0</DocSecurity>
  <Lines>41</Lines>
  <Paragraphs>11</Paragraphs>
  <ScaleCrop>false</ScaleCrop>
  <Company>GKSI</Company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lastModifiedBy>Орг. отдел администрации Янтиковского района</cp:lastModifiedBy>
  <cp:revision>44</cp:revision>
  <cp:lastPrinted>2026-05-15T06:24:00Z</cp:lastPrinted>
  <dcterms:created xsi:type="dcterms:W3CDTF">2025-10-22T04:33:00Z</dcterms:created>
  <dcterms:modified xsi:type="dcterms:W3CDTF">2026-05-19T13:59:00Z</dcterms:modified>
  <cp:version>917504</cp:version>
</cp:coreProperties>
</file>