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Утвержд</w:t>
      </w:r>
      <w:r>
        <w:rPr>
          <w:rFonts w:ascii="Times New Roman" w:hAnsi="Times New Roman" w:cs="Times New Roman"/>
          <w:sz w:val="26"/>
          <w:szCs w:val="26"/>
        </w:rPr>
        <w:t xml:space="preserve">ен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7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>
        <w:rPr>
          <w:rFonts w:ascii="Times New Roman" w:hAnsi="Times New Roman" w:cs="Times New Roman"/>
          <w:sz w:val="26"/>
          <w:szCs w:val="26"/>
        </w:rPr>
        <w:t xml:space="preserve">Минист</w:t>
      </w:r>
      <w:r>
        <w:rPr>
          <w:rFonts w:ascii="Times New Roman" w:hAnsi="Times New Roman" w:cs="Times New Roman"/>
          <w:sz w:val="26"/>
          <w:szCs w:val="26"/>
        </w:rPr>
        <w:t xml:space="preserve">ерства</w:t>
      </w:r>
      <w:r>
        <w:rPr>
          <w:rFonts w:ascii="Times New Roman" w:hAnsi="Times New Roman" w:cs="Times New Roman"/>
          <w:sz w:val="26"/>
          <w:szCs w:val="26"/>
        </w:rPr>
        <w:t xml:space="preserve"> труда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7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социальной защиты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7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7"/>
        <w:ind w:left="495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от </w:t>
      </w:r>
      <w:r>
        <w:rPr>
          <w:rFonts w:ascii="Times New Roman" w:hAnsi="Times New Roman" w:cs="Times New Roman"/>
          <w:sz w:val="26"/>
          <w:szCs w:val="26"/>
        </w:rPr>
        <w:t xml:space="preserve">«__»_________20____</w:t>
      </w:r>
      <w:r>
        <w:rPr>
          <w:rFonts w:ascii="Times New Roman" w:hAnsi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cs="Times New Roman"/>
          <w:sz w:val="26"/>
          <w:szCs w:val="26"/>
        </w:rPr>
        <w:t xml:space="preserve"> № 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7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7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ДОКЛАД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74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результатах обобщения правоприменительной практики при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осуществлении </w:t>
      </w:r>
      <w:r>
        <w:rPr>
          <w:b/>
          <w:bCs/>
          <w:sz w:val="26"/>
          <w:szCs w:val="26"/>
        </w:rPr>
        <w:t xml:space="preserve">Министерством труда и социальной зашиты Чувашской Республики </w:t>
      </w:r>
      <w:r>
        <w:rPr>
          <w:b/>
          <w:bCs/>
          <w:sz w:val="26"/>
          <w:szCs w:val="26"/>
        </w:rPr>
        <w:t xml:space="preserve">регионального </w:t>
      </w:r>
      <w:r>
        <w:rPr>
          <w:b/>
          <w:bCs/>
          <w:sz w:val="26"/>
          <w:szCs w:val="26"/>
        </w:rPr>
        <w:t xml:space="preserve">государственного контроля (надзора) </w:t>
      </w:r>
      <w:r>
        <w:rPr>
          <w:b/>
          <w:bCs/>
          <w:sz w:val="26"/>
          <w:szCs w:val="26"/>
        </w:rPr>
        <w:t xml:space="preserve">в сфере социального обслуживания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за 2024</w:t>
      </w:r>
      <w:r>
        <w:rPr>
          <w:b/>
          <w:bCs/>
          <w:sz w:val="26"/>
          <w:szCs w:val="26"/>
        </w:rPr>
        <w:t xml:space="preserve"> год</w:t>
      </w:r>
      <w:bookmarkStart w:id="0" w:name="bookmark5"/>
      <w:r/>
      <w:bookmarkEnd w:id="0"/>
      <w:r/>
      <w:r>
        <w:rPr>
          <w:b/>
          <w:bCs/>
          <w:sz w:val="26"/>
          <w:szCs w:val="26"/>
        </w:rPr>
      </w:r>
    </w:p>
    <w:p>
      <w:pPr>
        <w:pStyle w:val="74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4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I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Общие положения</w:t>
      </w:r>
      <w:r>
        <w:rPr>
          <w:b/>
          <w:sz w:val="26"/>
          <w:szCs w:val="26"/>
        </w:rPr>
      </w:r>
    </w:p>
    <w:p>
      <w:pPr>
        <w:pStyle w:val="74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Федеральным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31 июля 2020 г.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 труда и социальной зашиты Чувашской Республики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Минтруд Чувашии) </w:t>
      </w:r>
      <w:r>
        <w:rPr>
          <w:rFonts w:ascii="Times New Roman" w:hAnsi="Times New Roman" w:cs="Times New Roman"/>
          <w:bCs/>
          <w:sz w:val="26"/>
          <w:szCs w:val="26"/>
        </w:rPr>
        <w:t xml:space="preserve">является органом исполнительной власти Чувашской Республики,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уполномоченным на осуществление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сфере социального обслуживания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(далее –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осударственный контроль (надзор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требований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№ 248-ФЗ </w:t>
      </w:r>
      <w:r>
        <w:rPr>
          <w:sz w:val="26"/>
          <w:szCs w:val="26"/>
        </w:rPr>
        <w:t xml:space="preserve">постановлением Кабинета Министров Чувашской Республики от 29 сентября 2021 г. </w:t>
      </w:r>
      <w:r>
        <w:rPr>
          <w:sz w:val="26"/>
          <w:szCs w:val="26"/>
        </w:rPr>
        <w:t xml:space="preserve">№ 482 утверждено Положение о региональном государственном контроле (надзоре) </w:t>
      </w:r>
      <w:r>
        <w:rPr>
          <w:sz w:val="26"/>
          <w:szCs w:val="26"/>
        </w:rPr>
        <w:t xml:space="preserve">в сфере социального обслуживания</w:t>
      </w:r>
      <w:r>
        <w:rPr>
          <w:sz w:val="26"/>
          <w:szCs w:val="26"/>
        </w:rPr>
        <w:t xml:space="preserve"> (далее – Положение о го</w:t>
      </w:r>
      <w:r>
        <w:rPr>
          <w:sz w:val="26"/>
          <w:szCs w:val="26"/>
        </w:rPr>
        <w:t xml:space="preserve">сударственном контроле (надзоре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Положением о государственном контроле (надзоре) предусмотрено проведение </w:t>
      </w:r>
      <w:r>
        <w:rPr>
          <w:sz w:val="26"/>
          <w:szCs w:val="26"/>
        </w:rPr>
        <w:t xml:space="preserve">как</w:t>
      </w:r>
      <w:r>
        <w:rPr>
          <w:sz w:val="26"/>
          <w:szCs w:val="26"/>
        </w:rPr>
        <w:t xml:space="preserve"> выездных и документарных проверок, </w:t>
      </w:r>
      <w:r>
        <w:rPr>
          <w:sz w:val="26"/>
          <w:szCs w:val="26"/>
        </w:rPr>
        <w:t xml:space="preserve">так</w:t>
      </w:r>
      <w:r>
        <w:rPr>
          <w:sz w:val="26"/>
          <w:szCs w:val="26"/>
        </w:rPr>
        <w:t xml:space="preserve"> и профилактических мероприятий, направленных на предупреждение нарушений обязательных требований.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статье 47 Федерального закона № 248-ФЗ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бобщение правоприменительной практики проводится для решения следующих задач: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подготовка предложений об актуализации обязательных требований;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998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7"/>
        <w:jc w:val="center"/>
        <w:tabs>
          <w:tab w:val="left" w:pos="426" w:leader="none"/>
          <w:tab w:val="left" w:pos="1985" w:leader="none"/>
        </w:tabs>
        <w:rPr>
          <w:rFonts w:ascii="Times New Roman" w:hAnsi="Times New Roman" w:cs="Times New Roman"/>
          <w:b/>
          <w:sz w:val="26"/>
          <w:szCs w:val="26"/>
        </w:rPr>
      </w:pPr>
      <w:r/>
      <w:bookmarkStart w:id="1" w:name="bookmark11"/>
      <w:r/>
      <w:bookmarkStart w:id="2" w:name="bookmark10"/>
      <w:r/>
      <w:bookmarkStart w:id="3" w:name="bookmark12"/>
      <w:r/>
      <w:bookmarkStart w:id="4" w:name="bookmark9"/>
      <w:r/>
      <w:bookmarkEnd w:id="1"/>
      <w:r/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7"/>
        <w:jc w:val="center"/>
        <w:tabs>
          <w:tab w:val="left" w:pos="426" w:leader="none"/>
          <w:tab w:val="left" w:pos="1985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7"/>
        <w:jc w:val="center"/>
        <w:tabs>
          <w:tab w:val="left" w:pos="426" w:leader="none"/>
          <w:tab w:val="left" w:pos="1985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Осуществление государственного контроля (надзора)</w:t>
      </w:r>
      <w:bookmarkStart w:id="5" w:name="bookmark15"/>
      <w:r/>
      <w:bookmarkStart w:id="6" w:name="bookmark13"/>
      <w:r/>
      <w:bookmarkStart w:id="7" w:name="bookmark14"/>
      <w:r/>
      <w:bookmarkStart w:id="8" w:name="bookmark16"/>
      <w:r/>
      <w:bookmarkEnd w:id="2"/>
      <w:r/>
      <w:bookmarkEnd w:id="3"/>
      <w:r/>
      <w:bookmarkEnd w:id="4"/>
      <w:r/>
      <w:bookmarkEnd w:id="5"/>
      <w:r/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7"/>
        <w:jc w:val="center"/>
        <w:tabs>
          <w:tab w:val="left" w:pos="426" w:leader="none"/>
          <w:tab w:val="left" w:pos="1985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контроль (надзор) </w:t>
      </w:r>
      <w:r>
        <w:rPr>
          <w:sz w:val="26"/>
          <w:szCs w:val="26"/>
        </w:rPr>
        <w:t xml:space="preserve">в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осуществлялся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Минтрудом Чувашии</w:t>
      </w:r>
      <w:r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</w:t>
      </w:r>
      <w:r>
        <w:rPr>
          <w:sz w:val="26"/>
          <w:szCs w:val="26"/>
        </w:rPr>
        <w:t xml:space="preserve">ей 33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</w:t>
      </w:r>
      <w:r>
        <w:rPr>
          <w:sz w:val="26"/>
          <w:szCs w:val="26"/>
        </w:rPr>
        <w:t xml:space="preserve">акона от </w:t>
      </w:r>
      <w:r>
        <w:rPr>
          <w:sz w:val="26"/>
          <w:szCs w:val="26"/>
        </w:rPr>
        <w:t xml:space="preserve">28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2013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442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основах социального обслуживания граждан</w:t>
      </w:r>
      <w:r>
        <w:rPr>
          <w:sz w:val="26"/>
          <w:szCs w:val="26"/>
        </w:rPr>
        <w:t xml:space="preserve"> в Российской Федерации».</w:t>
      </w:r>
      <w:r>
        <w:rPr>
          <w:color w:val="262626"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со статьей</w:t>
      </w:r>
      <w:r>
        <w:rPr>
          <w:rFonts w:ascii="Times New Roman" w:hAnsi="Times New Roman" w:cs="Times New Roman"/>
          <w:sz w:val="26"/>
          <w:szCs w:val="26"/>
        </w:rPr>
        <w:t xml:space="preserve"> 33 Федерального </w:t>
      </w:r>
      <w:hyperlink r:id="rId12" w:tooltip="consultantplus://offline/ref=EA9105BD92C81C31E35299B72DB9F362ED8B11DD7315E7A357D309FEF9CFA547A9C1E10FA1F13E34AEBA7380EDT2q7N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закона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28 декабря 2013 г.             № 442-ФЗ «Об основах социального обслуживания </w:t>
      </w:r>
      <w:r>
        <w:rPr>
          <w:rFonts w:ascii="Times New Roman" w:hAnsi="Times New Roman" w:cs="Times New Roman"/>
          <w:sz w:val="26"/>
          <w:szCs w:val="26"/>
        </w:rPr>
        <w:t xml:space="preserve">граждан в Российской Федерации»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предметом государственного контроля (надзора)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при осуществлении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контроля (надзора) уполномоченными органами исполнительной власти субъект</w:t>
      </w:r>
      <w:r>
        <w:rPr>
          <w:rFonts w:ascii="Times New Roman" w:hAnsi="Times New Roman" w:cs="Times New Roman"/>
          <w:sz w:val="26"/>
          <w:szCs w:val="26"/>
        </w:rPr>
        <w:t xml:space="preserve">ов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данного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Федерального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Положением </w:t>
      </w:r>
      <w:r>
        <w:rPr>
          <w:sz w:val="26"/>
          <w:szCs w:val="26"/>
        </w:rPr>
        <w:t xml:space="preserve">о государственном контроле (надзоре) </w:t>
      </w:r>
      <w:r>
        <w:rPr>
          <w:sz w:val="26"/>
          <w:szCs w:val="26"/>
        </w:rPr>
        <w:t xml:space="preserve">определены критерии отнесения объектов государственного контроля (надзора) к определенной категории риска.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государственного контроля (надзора) предусматриваются следующие категории риска причинения вреда (ущерба) (далее - категории риска):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</w:t>
      </w:r>
      <w:r>
        <w:rPr>
          <w:sz w:val="26"/>
          <w:szCs w:val="26"/>
        </w:rPr>
        <w:t xml:space="preserve"> риск;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умеренный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риск;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низкий риск.</w:t>
      </w:r>
      <w:r>
        <w:rPr>
          <w:sz w:val="26"/>
          <w:szCs w:val="26"/>
        </w:rPr>
      </w:r>
    </w:p>
    <w:p>
      <w:pPr>
        <w:pStyle w:val="7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государственного контроля (надзора)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относится к категории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среднего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риска, если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работодателя в течение пяти лет, предшествующих дате отнесения к категории риска, в</w:t>
      </w:r>
      <w:r>
        <w:rPr>
          <w:rFonts w:ascii="Times New Roman" w:hAnsi="Times New Roman" w:cs="Times New Roman"/>
          <w:sz w:val="26"/>
          <w:szCs w:val="26"/>
        </w:rPr>
        <w:t xml:space="preserve">ступило в законную силу постановление о назначении административного наказания за совершение административного правонарушения, предусмотренного частью 1 статьи 5.42 или частью 1 статьи 19.5 Кодекса Российской Федерации об административных правонарушениях.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8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контроля относится к категории умеренного риска, если в отношении работодателя в течение восьми лет, предшествующих дате отнесения к категории риска, применена одна из следующих мер воздействия: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8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объявлено предостережение;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8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вступило в законную силу постановление о назначении административного наказания за совершение административного правонарушения, предусмотренного статьей 19.7 Кодекса Российской Федерации об административных правонарушениях.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8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случае </w:t>
      </w:r>
      <w:r>
        <w:rPr>
          <w:rFonts w:ascii="Times New Roman" w:hAnsi="Times New Roman" w:cs="Times New Roman"/>
          <w:sz w:val="26"/>
          <w:szCs w:val="26"/>
        </w:rPr>
        <w:t xml:space="preserve">если объект контроля не отнесен </w:t>
      </w:r>
      <w:r>
        <w:rPr>
          <w:rFonts w:ascii="Times New Roman" w:hAnsi="Times New Roman" w:cs="Times New Roman"/>
          <w:sz w:val="26"/>
          <w:szCs w:val="26"/>
        </w:rPr>
        <w:t xml:space="preserve">Минтрудом Чувашии </w:t>
      </w:r>
      <w:r>
        <w:rPr>
          <w:rFonts w:ascii="Times New Roman" w:hAnsi="Times New Roman" w:cs="Times New Roman"/>
          <w:sz w:val="26"/>
          <w:szCs w:val="26"/>
        </w:rPr>
        <w:t xml:space="preserve">к категории среднего или умеренного риска, он считается отнесенным к категории низкого риска.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0"/>
        <w:ind w:firstLine="70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отношении объекта контроля, который отнесен к категории среднего риска, плановые контрольные (надзорные) мероприятия в виде инспекционного визита, документарной проверки или выездной проверки проводятся с периодичностью один раз в четыре года. </w:t>
      </w:r>
      <w:r>
        <w:rPr>
          <w:color w:val="auto"/>
          <w:sz w:val="26"/>
          <w:szCs w:val="26"/>
        </w:rPr>
      </w:r>
    </w:p>
    <w:p>
      <w:pPr>
        <w:pStyle w:val="740"/>
        <w:ind w:firstLine="70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отношении объекта контроля, который отнесен к категории умеренного риска, плановые контрольные (надзорные) мероприятия в виде инспекционного визита, документарной проверки или выездной проверки проводятся с периодичностью один раз в шесть лет. </w:t>
      </w:r>
      <w:r>
        <w:rPr>
          <w:color w:val="auto"/>
          <w:sz w:val="26"/>
          <w:szCs w:val="26"/>
        </w:rPr>
      </w:r>
    </w:p>
    <w:p>
      <w:pPr>
        <w:pStyle w:val="740"/>
        <w:ind w:firstLine="70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отношении объекта контроля, который отнесен к категории низкого риска, плановые контрольные (</w:t>
      </w:r>
      <w:r>
        <w:rPr>
          <w:color w:val="auto"/>
          <w:sz w:val="26"/>
          <w:szCs w:val="26"/>
        </w:rPr>
        <w:t xml:space="preserve">надзорные) </w:t>
      </w:r>
      <w:r>
        <w:rPr>
          <w:color w:val="auto"/>
          <w:sz w:val="26"/>
          <w:szCs w:val="26"/>
        </w:rPr>
        <w:t xml:space="preserve">мероприятия не проводятся. </w:t>
      </w:r>
      <w:r>
        <w:rPr>
          <w:color w:val="auto"/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ежегодного плана проведения плановых проверок </w:t>
      </w:r>
      <w:r>
        <w:rPr>
          <w:sz w:val="26"/>
          <w:szCs w:val="26"/>
        </w:rPr>
        <w:t xml:space="preserve">(далее – план) </w:t>
      </w:r>
      <w:r>
        <w:rPr>
          <w:sz w:val="26"/>
          <w:szCs w:val="26"/>
        </w:rPr>
        <w:t xml:space="preserve">формируется на основании</w:t>
      </w:r>
      <w:r>
        <w:rPr>
          <w:sz w:val="26"/>
          <w:szCs w:val="26"/>
        </w:rPr>
        <w:t xml:space="preserve"> перечн</w:t>
      </w:r>
      <w:r>
        <w:rPr>
          <w:sz w:val="26"/>
          <w:szCs w:val="26"/>
        </w:rPr>
        <w:t xml:space="preserve">ей объектов контроля по видам государственного контроля (надзора), содержащимся в едином реестре видов регионального государственного контроля (надзора), в соответствии с периодичностью проведения плановых контрольных (надзорных) мероприятий, установленной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положением о виде контроля для категорий риска, к которым отнесены объекты контроля.</w:t>
      </w:r>
      <w:r>
        <w:rPr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плана до 1 октября года, предшествующего году реализации плана, представляется на согласование в органы прокуратуры, определенные в соответствии с приказом Генерального прокурора Российской Федерации.</w:t>
      </w:r>
      <w:r>
        <w:rPr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прокуратуры осуществляют рассмотрение проекта ежегодного плана в порядке, предусмотренном частью 5 статьи 61 Федерального закона </w:t>
      </w:r>
      <w:r>
        <w:rPr>
          <w:sz w:val="26"/>
          <w:szCs w:val="26"/>
        </w:rPr>
        <w:t xml:space="preserve">№ 248-ФЗ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Мероприятий при осуществлении регионального государственного контроля (надзора) в сфере социального обслуживания на 2025 год не запланировано в соответствии с постановлением Правительства Российской Федерации от 10 ма</w:t>
      </w:r>
      <w:r>
        <w:rPr>
          <w:sz w:val="26"/>
          <w:szCs w:val="26"/>
          <w:highlight w:val="white"/>
        </w:rPr>
        <w:t xml:space="preserve">рта 2022 г. № 336 «Об особенностях организации и осуществления государственного контроля (надзора), муниципального контроля» и в связи с отсутствием на дату утверждения плана объектов контроля, отнесенных к категориям чрезвычайно высокого и высокого риска.</w:t>
      </w:r>
      <w:bookmarkStart w:id="9" w:name="_GoBack"/>
      <w:r>
        <w:rPr>
          <w:highlight w:val="white"/>
        </w:rPr>
      </w:r>
      <w:bookmarkEnd w:id="9"/>
      <w:r>
        <w:rPr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</w:t>
      </w:r>
      <w:r>
        <w:rPr>
          <w:sz w:val="26"/>
          <w:szCs w:val="26"/>
        </w:rPr>
        <w:t xml:space="preserve">5 год утверждена программа профилактики </w:t>
      </w:r>
      <w:r>
        <w:rPr>
          <w:iCs/>
          <w:sz w:val="26"/>
          <w:szCs w:val="26"/>
        </w:rPr>
        <w:t xml:space="preserve">рисков причи</w:t>
      </w:r>
      <w:r>
        <w:rPr>
          <w:iCs/>
          <w:sz w:val="26"/>
          <w:szCs w:val="26"/>
        </w:rPr>
        <w:t xml:space="preserve">нения вреда (ущерба) охраняемым </w:t>
      </w:r>
      <w:r>
        <w:rPr>
          <w:iCs/>
          <w:sz w:val="26"/>
          <w:szCs w:val="26"/>
        </w:rPr>
        <w:t xml:space="preserve">законом ценностям</w:t>
      </w:r>
      <w:r>
        <w:rPr>
          <w:iCs/>
          <w:sz w:val="26"/>
          <w:szCs w:val="26"/>
        </w:rPr>
        <w:t xml:space="preserve"> при осуществлении </w:t>
      </w:r>
      <w:r>
        <w:rPr>
          <w:sz w:val="26"/>
          <w:szCs w:val="26"/>
        </w:rPr>
        <w:t xml:space="preserve">регионального государственного контроля (надзора) </w:t>
      </w:r>
      <w:r>
        <w:rPr>
          <w:sz w:val="26"/>
          <w:szCs w:val="26"/>
        </w:rPr>
        <w:t xml:space="preserve">в сфере социального обслуживания</w:t>
      </w:r>
      <w:r>
        <w:rPr>
          <w:sz w:val="26"/>
          <w:szCs w:val="26"/>
        </w:rPr>
        <w:t xml:space="preserve">.</w:t>
      </w:r>
      <w:r>
        <w:rPr>
          <w:iCs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профилактических мероприятий, направленных на профилактику нарушений обязательных требований в области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надзора и контроля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сфере социального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обслуживания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официальном сайте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Минтруда Чувашии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информационно-коммуникационной сети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разделе «Контрольно-надзорная деятельность» размещены нормативные правовые акты в сфере госуд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арственного контроля (надзора)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методические и информационные материалы для подконтрольных субъектов по добросовестному исполнению обязательных требований в подконтрольной сфере.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Д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олжностными лицами Мин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труда Чувашии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на личном приеме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и по телефону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представителям подко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нтрольных субъектов разъясняются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процедуры осуществления государственного кон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троля (надзора), предоставляется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информация о правах и обязанностях при осуществлении в отношении них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40"/>
        <w:ind w:firstLine="0"/>
        <w:jc w:val="center"/>
        <w:tabs>
          <w:tab w:val="left" w:pos="543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III</w:t>
      </w:r>
      <w:r>
        <w:rPr>
          <w:b/>
          <w:bCs/>
          <w:sz w:val="26"/>
          <w:szCs w:val="26"/>
        </w:rPr>
        <w:t xml:space="preserve">. Правоприменительная практика соблюдения обязательных требований</w:t>
      </w:r>
      <w:r>
        <w:rPr>
          <w:b/>
          <w:bCs/>
          <w:sz w:val="26"/>
          <w:szCs w:val="26"/>
        </w:rPr>
      </w:r>
    </w:p>
    <w:p>
      <w:pPr>
        <w:pStyle w:val="740"/>
        <w:ind w:firstLine="0"/>
        <w:jc w:val="center"/>
        <w:tabs>
          <w:tab w:val="left" w:pos="54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Тексты </w:t>
      </w:r>
      <w:r>
        <w:rPr>
          <w:sz w:val="26"/>
          <w:szCs w:val="26"/>
        </w:rPr>
        <w:t xml:space="preserve">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 xml:space="preserve">Минтруда Чувашии, в том числе:</w:t>
      </w:r>
      <w:r>
        <w:rPr>
          <w:sz w:val="26"/>
          <w:szCs w:val="26"/>
        </w:rPr>
      </w:r>
    </w:p>
    <w:p>
      <w:pPr>
        <w:pStyle w:val="740"/>
        <w:ind w:firstLine="697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 xml:space="preserve">Федеральный закон от 24 ноября 1995 г. № 181-ФЗ «О социальной защите инвалидов в Российской Федерации»;</w:t>
      </w:r>
      <w:r>
        <w:rPr>
          <w:color w:val="auto"/>
          <w:sz w:val="26"/>
          <w:szCs w:val="26"/>
          <w:lang w:bidi="ar-SA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color w:val="auto"/>
          <w:sz w:val="26"/>
          <w:szCs w:val="26"/>
          <w:lang w:bidi="ar-SA"/>
        </w:rPr>
        <w:t xml:space="preserve">Федеральный закон от 4 мая 2011 г. № 99-ФЗ «О лицензировании отдельных видов деятельности»;</w:t>
      </w:r>
      <w:r>
        <w:rPr>
          <w:sz w:val="26"/>
          <w:szCs w:val="26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</w:t>
      </w:r>
      <w:hyperlink r:id="rId13" w:tooltip="consultantplus://offline/ref=EA9105BD92C81C31E35299B72DB9F362ED8B11DD7315E7A357D309FEF9CFA547A9C1E10FA1F13E34AEBA7380EDT2q7N" w:history="1">
        <w:r>
          <w:rPr>
            <w:color w:val="000000" w:themeColor="text1"/>
            <w:sz w:val="26"/>
            <w:szCs w:val="26"/>
          </w:rPr>
          <w:t xml:space="preserve">закон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28</w:t>
      </w:r>
      <w:r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 xml:space="preserve">2013 </w:t>
      </w:r>
      <w:r>
        <w:rPr>
          <w:sz w:val="26"/>
          <w:szCs w:val="26"/>
        </w:rPr>
        <w:t xml:space="preserve">г. № 442-ФЗ «Об основах социального обслуживания граждан в Российской Федерации»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постановление Правительства Российской Федерации от 24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ноября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труда и социальной защиты Российской Ф</w:t>
      </w:r>
      <w:r>
        <w:rPr>
          <w:sz w:val="26"/>
          <w:szCs w:val="26"/>
        </w:rPr>
        <w:t xml:space="preserve">еде</w:t>
      </w:r>
      <w:r>
        <w:rPr>
          <w:sz w:val="26"/>
          <w:szCs w:val="26"/>
        </w:rPr>
        <w:t xml:space="preserve">рации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 xml:space="preserve">2020 г. № 846н «О внесении изменений в некоторые </w:t>
      </w:r>
      <w:r>
        <w:rPr>
          <w:sz w:val="26"/>
          <w:szCs w:val="26"/>
        </w:rPr>
        <w:t xml:space="preserve">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обслуживания»</w:t>
      </w:r>
      <w:r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 xml:space="preserve">приказ Министерства труда и социальной защиты Российской Федерации</w:t>
      </w:r>
      <w:r>
        <w:rPr>
          <w:sz w:val="26"/>
          <w:szCs w:val="26"/>
        </w:rPr>
        <w:t xml:space="preserve"> от 1 декабря 2020</w:t>
      </w:r>
      <w:r>
        <w:rPr>
          <w:sz w:val="26"/>
          <w:szCs w:val="26"/>
        </w:rPr>
        <w:t xml:space="preserve"> г. № 846н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акон Чувашской Республики от 19 декабря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2014 г. № 84 «Об утверждении перечня социальных услуг, предоставляемых поставщиками социальных услуг в Чувашской Республике»;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постановление Кабинета Министров Чувашской Республики от 25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декабря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2014 г. № 475 «О социальном обслуживании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граждан в Чувашской Республике»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</w:t>
      </w:r>
      <w:r>
        <w:rPr>
          <w:sz w:val="26"/>
          <w:szCs w:val="26"/>
        </w:rPr>
        <w:t xml:space="preserve"> нормативные правовые акты содержат следующие </w:t>
      </w:r>
      <w:r>
        <w:rPr>
          <w:sz w:val="26"/>
          <w:szCs w:val="26"/>
        </w:rPr>
        <w:t xml:space="preserve">обязательные </w:t>
      </w:r>
      <w:r>
        <w:rPr>
          <w:sz w:val="26"/>
          <w:szCs w:val="26"/>
        </w:rPr>
        <w:t xml:space="preserve">требования, соблюдение которых оценивается при </w:t>
      </w:r>
      <w:r>
        <w:rPr>
          <w:sz w:val="26"/>
          <w:szCs w:val="26"/>
        </w:rPr>
        <w:t xml:space="preserve">осуществлении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государственного контроля (надзора)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предоставление социальных услуг в соответствии с индивидуальными программами и условиями договоров, заключенных с получателями социальных услуг ил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 их законными представителями;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соответствие договор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ов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о предоставлении социальных услуг примерной форме договора о предоставлении социальных услуг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, утвержденной приказом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Министерства труда и социальной защиты Российской Ф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еде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рации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декабря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2020 г. № 846н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697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предоставление бесплатно в доступной форме по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лучателям социальных услуг или их законным представителям информации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зможности получать их бесплатно;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соблюдение требований законодательства о защите персональных данных при использовании информации</w:t>
      </w:r>
      <w:r>
        <w:rPr>
          <w:sz w:val="26"/>
          <w:szCs w:val="26"/>
        </w:rPr>
        <w:t xml:space="preserve"> о получателях социальных услуг;</w:t>
      </w:r>
      <w:r>
        <w:rPr>
          <w:sz w:val="26"/>
          <w:szCs w:val="26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информации для формирования регистра получателей социальных услуг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осуществл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ение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социально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сопровождени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получателей социальных услуг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ение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получателям социальных услуг содействи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в прохождении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медико-социальной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экспертизы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предоставл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ение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получателям социальных услуг возможност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пользова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услугами связи, в том числе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информационно-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теле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коммуникационной сети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 услугами почтовой связи;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выдел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ение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супругам, проживающим в организации социального обслуживания, изолированно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жило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помещени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для совме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стного проживания;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ение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получателям социальных услуг возможност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ами в дневное и вечернее в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ремя;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сохранност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личных вещей и ценностей получателей социальных услуг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соблюдение требования к размещению и обновлению информации на официальном сайте поставщика социальных услуг в инфор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мационно-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теле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коммуникационной сети «Интернет»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в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договоре о предоставлении социальных услуг положения, определенного индивидуальной программой, а также стоимость социальных услуг в случае, если они предоставляются за плату или частичную плату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у поставщика социальных услуг лицензии на осуществление образовательной деятельности;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у поставщика социальных услуг лицензии на осуществление медицинской деятельности;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питанием лиц пожилого возраста, лиц с ограниченными возможностями здоровья и инвалидов, проживающих в организациях социального обслуживания, не менее 3 раз в день, в том числе диетическим (лечебным) питание по медицинским показаниям;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помещения для приема готовой пищевой продукции и отбора суточных проб в организации стационарного социального обслуживания (в случае использования готовых блюд из пр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едприятий общественного питания);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регистрации результатов бракеража в журнале бракеража готовой пищевой продукции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утверждённого меню руководителем организации стационарного социального обслуживания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наличие разработанного меню на период не менее двух недель для детей каждой возрастной группы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осуществление питания детей в соответствии с утвержденным меню;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осуществление питания без использования пищевой продукции, которая не допускается при организации питания детей;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осуществление отбора суточных проб от каждой партии приготовленной пищевой продукции;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соблюдение условий для беспрепятственного доступа к объекту социальной инфраструктуры и к предоставляемым в нем услугам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возможности самостоятельного передвижения по территории, на которой расположен объект социальной инфраструктуры, входа и выхода из него, посадки в транспортное средство и высадки из него, в том числе с использованием кресла-коляски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сопровождения инвалидов (маломобильных групп населения), имеющих стойкие расстройства функции зрения и самостоятельного передвижения, и оказание им помощи на объекте социальной инфраструктуры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еспечение надлежащего размещения оборудования и носителей информации, необходимых для обеспечения беспрепятственного доступа инвалидов (маломобильных групп населения) к объекту социальной инфраструктуры и к услугам с учетом ограничений их жизнедеятельности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сурдопереводчика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тифлосурдопереводчика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обеспечение допуска на объект социальной инфраструктуры собак-проводников при наличии документа, подтверждающего ее специальное обучение.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p>
      <w:pPr>
        <w:pStyle w:val="74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IV</w:t>
      </w:r>
      <w:r>
        <w:rPr>
          <w:b/>
          <w:bCs/>
          <w:sz w:val="26"/>
          <w:szCs w:val="26"/>
        </w:rPr>
        <w:t xml:space="preserve">. Типовые нарушения обязательных требований</w:t>
      </w:r>
      <w:r>
        <w:rPr>
          <w:b/>
          <w:bCs/>
          <w:sz w:val="26"/>
          <w:szCs w:val="26"/>
        </w:rPr>
      </w:r>
    </w:p>
    <w:p>
      <w:pPr>
        <w:pStyle w:val="74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правонарушений по результатам проведенного в предыдущие годы государственного контроля (надзора) показал, что типовыми нарушениями обязательных требований законодательства в </w:t>
      </w:r>
      <w:r>
        <w:rPr>
          <w:sz w:val="26"/>
          <w:szCs w:val="26"/>
        </w:rPr>
        <w:t xml:space="preserve">сфере социального обслуживания</w:t>
      </w:r>
      <w:r>
        <w:rPr>
          <w:sz w:val="26"/>
          <w:szCs w:val="26"/>
        </w:rPr>
        <w:t xml:space="preserve"> являются: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обеспечен</w:t>
      </w:r>
      <w:r>
        <w:rPr>
          <w:sz w:val="26"/>
          <w:szCs w:val="26"/>
        </w:rPr>
        <w:t xml:space="preserve">ие</w:t>
      </w:r>
      <w:r>
        <w:rPr>
          <w:sz w:val="26"/>
          <w:szCs w:val="26"/>
        </w:rPr>
        <w:t xml:space="preserve"> доступност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информации о деятельности поставщика социальных услуг посредством ее размещения на информационных стендах в помещениях поставщика социальных услуг, в средствах массовой информации, в </w:t>
      </w:r>
      <w:r>
        <w:rPr>
          <w:sz w:val="26"/>
          <w:szCs w:val="26"/>
        </w:rPr>
        <w:t xml:space="preserve">информационно-</w:t>
      </w:r>
      <w:r>
        <w:rPr>
          <w:sz w:val="26"/>
          <w:szCs w:val="26"/>
        </w:rPr>
        <w:t xml:space="preserve">теле</w:t>
      </w:r>
      <w:r>
        <w:rPr>
          <w:sz w:val="26"/>
          <w:szCs w:val="26"/>
        </w:rPr>
        <w:t xml:space="preserve">коммуникационной сети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Интернет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в том числе на официальном сайте поставщика социальных услуг;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 xml:space="preserve">надлежаще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размещени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оборудования и носителей информации, необходимых для обеспечения беспрепятственного доступа инвалидов к объекту, а также дублировани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 xml:space="preserve">услови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для беспрепятственного доступа к объектам, возможност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самостоятельного передвижения по территории, входа/выхода и перемещения внутри организации (в том числе передвижения в креслах-колясках) без помощи сторонних лиц;</w:t>
      </w:r>
      <w:r>
        <w:rPr>
          <w:sz w:val="26"/>
          <w:szCs w:val="26"/>
        </w:rPr>
      </w:r>
    </w:p>
    <w:p>
      <w:pPr>
        <w:pStyle w:val="7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</w:t>
      </w:r>
      <w:r>
        <w:rPr>
          <w:sz w:val="26"/>
          <w:szCs w:val="26"/>
        </w:rPr>
        <w:t xml:space="preserve">ие</w:t>
      </w:r>
      <w:r>
        <w:rPr>
          <w:sz w:val="26"/>
          <w:szCs w:val="26"/>
        </w:rPr>
        <w:t xml:space="preserve"> необходимо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штата</w:t>
      </w:r>
      <w:r>
        <w:rPr>
          <w:sz w:val="26"/>
          <w:szCs w:val="26"/>
        </w:rPr>
        <w:t xml:space="preserve"> специалистов, имеющих соответствующее образование, квалификацию, профессиональную подготовку, обладающих знаниями и опытом, необходимыми для выполнения возложенных на них обязанностей, постоянно</w:t>
      </w:r>
      <w:r>
        <w:rPr>
          <w:sz w:val="26"/>
          <w:szCs w:val="26"/>
        </w:rPr>
        <w:t xml:space="preserve">го </w:t>
      </w:r>
      <w:r>
        <w:rPr>
          <w:sz w:val="26"/>
          <w:szCs w:val="26"/>
        </w:rPr>
        <w:t xml:space="preserve">повышени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квалификации, в том числе на курсах переподг</w:t>
      </w:r>
      <w:r>
        <w:rPr>
          <w:sz w:val="26"/>
          <w:szCs w:val="26"/>
        </w:rPr>
        <w:t xml:space="preserve">отовки и повышения квалификации.</w:t>
      </w:r>
      <w:r>
        <w:rPr>
          <w:sz w:val="26"/>
          <w:szCs w:val="26"/>
        </w:rPr>
      </w:r>
    </w:p>
    <w:p>
      <w:pPr>
        <w:pStyle w:val="7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0"/>
        <w:ind w:firstLine="0"/>
        <w:jc w:val="center"/>
        <w:tabs>
          <w:tab w:val="left" w:pos="609" w:leader="none"/>
        </w:tabs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V</w:t>
      </w:r>
      <w:r>
        <w:rPr>
          <w:b/>
          <w:sz w:val="26"/>
          <w:szCs w:val="26"/>
        </w:rPr>
        <w:t xml:space="preserve">. Выводы и предложения по результатам </w:t>
      </w:r>
      <w:r>
        <w:rPr>
          <w:b/>
          <w:bCs/>
          <w:sz w:val="26"/>
          <w:szCs w:val="26"/>
        </w:rPr>
        <w:t xml:space="preserve">обобщения правоприменительной практики при осуществлении</w:t>
      </w:r>
      <w:r>
        <w:rPr>
          <w:b/>
          <w:sz w:val="26"/>
          <w:szCs w:val="26"/>
        </w:rPr>
        <w:t xml:space="preserve"> госу</w:t>
      </w:r>
      <w:r>
        <w:rPr>
          <w:b/>
          <w:sz w:val="26"/>
          <w:szCs w:val="26"/>
        </w:rPr>
        <w:t xml:space="preserve">дарственного контроля (надзора)</w:t>
      </w:r>
      <w:r>
        <w:rPr>
          <w:b/>
          <w:sz w:val="26"/>
          <w:szCs w:val="26"/>
        </w:rPr>
      </w:r>
    </w:p>
    <w:p>
      <w:pPr>
        <w:pStyle w:val="740"/>
        <w:ind w:firstLine="0"/>
        <w:jc w:val="center"/>
        <w:tabs>
          <w:tab w:val="left" w:pos="609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Возможными причинами возникновения наиболее часто встречающихся нарушений обязательных требований законодательства являются недостаточный уровень компетентности отдельных сотрудников поставщиков социальных услуг.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 xml:space="preserve">предотвращения</w:t>
      </w:r>
      <w:r>
        <w:rPr>
          <w:sz w:val="26"/>
          <w:szCs w:val="26"/>
        </w:rPr>
        <w:t xml:space="preserve"> совершения наиболее часто встречающихся нарушений обязательных требований поставщикам социальных услуг следует: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1562" w:leader="none"/>
        </w:tabs>
        <w:rPr>
          <w:sz w:val="26"/>
          <w:szCs w:val="26"/>
        </w:rPr>
      </w:pPr>
      <w:r/>
      <w:bookmarkStart w:id="10" w:name="bookmark8"/>
      <w:r/>
      <w:bookmarkEnd w:id="10"/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еукоснительно соблюдать обязательные требования, установленные действующим </w:t>
      </w:r>
      <w:r>
        <w:rPr>
          <w:sz w:val="26"/>
          <w:szCs w:val="26"/>
        </w:rPr>
        <w:t xml:space="preserve">законодательством;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130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редоставлять необходимые гражданам социальные услуги в соответствии с имеющимися правовыми основаниями и потребностью граждан в </w:t>
      </w:r>
      <w:r>
        <w:rPr>
          <w:sz w:val="26"/>
          <w:szCs w:val="26"/>
        </w:rPr>
        <w:t xml:space="preserve">предоставлении социальных услуг;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117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формлять первичные документы, подтверждающие нуждаемость в </w:t>
      </w:r>
      <w:r>
        <w:rPr>
          <w:sz w:val="26"/>
          <w:szCs w:val="26"/>
        </w:rPr>
        <w:t xml:space="preserve">социальном обслуживании и оказание получателям социальных услуг, в соответствии с установленными требова</w:t>
      </w:r>
      <w:r>
        <w:rPr>
          <w:sz w:val="26"/>
          <w:szCs w:val="26"/>
        </w:rPr>
        <w:t xml:space="preserve">ниями и по установленным формам;</w:t>
      </w:r>
      <w:r>
        <w:rPr>
          <w:sz w:val="26"/>
          <w:szCs w:val="26"/>
        </w:rPr>
      </w:r>
    </w:p>
    <w:p>
      <w:pPr>
        <w:pStyle w:val="740"/>
        <w:ind w:firstLine="709"/>
        <w:jc w:val="both"/>
        <w:tabs>
          <w:tab w:val="left" w:pos="130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части обеспечения доступности для инвалидов 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социальной инфраструктуры и предоставляемых услуг:</w:t>
      </w:r>
      <w:r>
        <w:rPr>
          <w:sz w:val="26"/>
          <w:szCs w:val="26"/>
        </w:rPr>
      </w:r>
    </w:p>
    <w:p>
      <w:pPr>
        <w:pStyle w:val="74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случаях, если существующие объекты социальной, инженерной и транспортной инфраструкт</w:t>
      </w:r>
      <w:r>
        <w:rPr>
          <w:sz w:val="26"/>
          <w:szCs w:val="26"/>
        </w:rPr>
        <w:t xml:space="preserve">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</w:t>
      </w:r>
      <w:r>
        <w:rPr>
          <w:sz w:val="26"/>
          <w:szCs w:val="26"/>
        </w:rPr>
        <w:t xml:space="preserve">соответствующей </w:t>
      </w:r>
      <w:r>
        <w:rPr>
          <w:sz w:val="26"/>
          <w:szCs w:val="26"/>
        </w:rPr>
        <w:t xml:space="preserve">территории, меры для обеспечения доступа инвалидов к месту предоставления услуги либо, когда </w:t>
      </w:r>
      <w:r>
        <w:rPr>
          <w:sz w:val="26"/>
          <w:szCs w:val="26"/>
        </w:rPr>
        <w:t xml:space="preserve">это</w:t>
      </w:r>
      <w:r>
        <w:rPr>
          <w:sz w:val="26"/>
          <w:szCs w:val="26"/>
        </w:rPr>
        <w:t xml:space="preserve"> возможно, обеспечить предоставление необходимых услуг по месту жительства инвалида или в дистанционном режиме;</w:t>
      </w:r>
      <w:r>
        <w:rPr>
          <w:sz w:val="26"/>
          <w:szCs w:val="26"/>
        </w:rPr>
      </w:r>
    </w:p>
    <w:p>
      <w:pPr>
        <w:pStyle w:val="74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оказание на объекте ситуационной помощи инвалидам;</w:t>
      </w:r>
      <w:r>
        <w:rPr>
          <w:sz w:val="26"/>
          <w:szCs w:val="26"/>
        </w:rPr>
      </w:r>
    </w:p>
    <w:p>
      <w:pPr>
        <w:pStyle w:val="74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предусмотреть работы, относящиеся к дооборудованию капитального характера, в проектной документации при планировании капитального ремонта.</w:t>
      </w:r>
      <w:bookmarkEnd w:id="6"/>
      <w:bookmarkEnd w:id="7"/>
      <w:bookmarkEnd w:id="8"/>
      <w:r>
        <w:rPr>
          <w:sz w:val="26"/>
          <w:szCs w:val="26"/>
        </w:rPr>
      </w:r>
    </w:p>
    <w:p>
      <w:pPr>
        <w:pStyle w:val="7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40" w:orient="portrait"/>
      <w:pgMar w:top="1134" w:right="851" w:bottom="1134" w:left="1701" w:header="0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3985895</wp:posOffset>
              </wp:positionH>
              <wp:positionV relativeFrom="page">
                <wp:posOffset>462280</wp:posOffset>
              </wp:positionV>
              <wp:extent cx="128270" cy="100330"/>
              <wp:effectExtent l="0" t="0" r="0" b="0"/>
              <wp:wrapNone/>
              <wp:docPr id="1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4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2914690;o:allowoverlap:true;o:allowincell:true;mso-position-horizontal-relative:page;margin-left:313.85pt;mso-position-horizontal:absolute;mso-position-vertical-relative:page;margin-top:36.40pt;mso-position-vertical:absolute;width:10.10pt;height:7.9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74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 xml:space="preserve"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21"/>
      <w:numFmt w:val="decimal"/>
      <w:isLgl w:val="false"/>
      <w:suff w:val="tab"/>
      <w:lvlText w:val="15.1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66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2020"/>
      <w:numFmt w:val="decimal"/>
      <w:isLgl w:val="false"/>
      <w:suff w:val="tab"/>
      <w:lvlText w:val="21.1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10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9"/>
    <w:next w:val="7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9"/>
    <w:next w:val="7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9"/>
    <w:uiPriority w:val="34"/>
    <w:qFormat/>
    <w:pPr>
      <w:contextualSpacing/>
      <w:ind w:left="720"/>
    </w:p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0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0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30"/>
    <w:link w:val="42"/>
    <w:uiPriority w:val="99"/>
  </w:style>
  <w:style w:type="paragraph" w:styleId="44">
    <w:name w:val="Footer"/>
    <w:basedOn w:val="7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30"/>
    <w:link w:val="44"/>
    <w:uiPriority w:val="99"/>
  </w:style>
  <w:style w:type="paragraph" w:styleId="46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0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0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rPr>
      <w:color w:val="000000"/>
    </w:rPr>
  </w:style>
  <w:style w:type="character" w:styleId="730" w:default="1">
    <w:name w:val="Default Paragraph Font"/>
    <w:uiPriority w:val="1"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№1_"/>
    <w:basedOn w:val="730"/>
    <w:link w:val="7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734" w:customStyle="1">
    <w:name w:val="Основной текст_"/>
    <w:basedOn w:val="730"/>
    <w:link w:val="7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styleId="735" w:customStyle="1">
    <w:name w:val="Заголовок №2_"/>
    <w:basedOn w:val="730"/>
    <w:link w:val="74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styleId="736" w:customStyle="1">
    <w:name w:val="Колонтитул (2)_"/>
    <w:basedOn w:val="730"/>
    <w:link w:val="7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737" w:customStyle="1">
    <w:name w:val="Подпись к картинке_"/>
    <w:basedOn w:val="730"/>
    <w:link w:val="7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738" w:customStyle="1">
    <w:name w:val="Другое_"/>
    <w:basedOn w:val="730"/>
    <w:link w:val="7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739" w:customStyle="1">
    <w:name w:val="Заголовок №1"/>
    <w:basedOn w:val="729"/>
    <w:link w:val="733"/>
    <w:pPr>
      <w:jc w:val="right"/>
      <w:spacing w:after="740"/>
      <w:outlineLvl w:val="0"/>
    </w:pPr>
    <w:rPr>
      <w:rFonts w:ascii="Times New Roman" w:hAnsi="Times New Roman" w:eastAsia="Times New Roman" w:cs="Times New Roman"/>
      <w:sz w:val="32"/>
      <w:szCs w:val="32"/>
    </w:rPr>
  </w:style>
  <w:style w:type="paragraph" w:styleId="740" w:customStyle="1">
    <w:name w:val="Основной текст1"/>
    <w:basedOn w:val="729"/>
    <w:link w:val="734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741" w:customStyle="1">
    <w:name w:val="Заголовок №2"/>
    <w:basedOn w:val="729"/>
    <w:link w:val="735"/>
    <w:pPr>
      <w:jc w:val="center"/>
      <w:spacing w:after="32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42" w:customStyle="1">
    <w:name w:val="Колонтитул (2)"/>
    <w:basedOn w:val="729"/>
    <w:link w:val="736"/>
    <w:rPr>
      <w:rFonts w:ascii="Times New Roman" w:hAnsi="Times New Roman" w:eastAsia="Times New Roman" w:cs="Times New Roman"/>
      <w:sz w:val="20"/>
      <w:szCs w:val="20"/>
    </w:rPr>
  </w:style>
  <w:style w:type="paragraph" w:styleId="743" w:customStyle="1">
    <w:name w:val="Подпись к картинке"/>
    <w:basedOn w:val="729"/>
    <w:link w:val="737"/>
    <w:pPr>
      <w:jc w:val="right"/>
    </w:pPr>
    <w:rPr>
      <w:rFonts w:ascii="Times New Roman" w:hAnsi="Times New Roman" w:eastAsia="Times New Roman" w:cs="Times New Roman"/>
    </w:rPr>
  </w:style>
  <w:style w:type="paragraph" w:styleId="744" w:customStyle="1">
    <w:name w:val="Другое"/>
    <w:basedOn w:val="729"/>
    <w:link w:val="738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745">
    <w:name w:val="Balloon Text"/>
    <w:basedOn w:val="729"/>
    <w:link w:val="746"/>
    <w:uiPriority w:val="99"/>
    <w:semiHidden/>
    <w:unhideWhenUsed/>
    <w:rPr>
      <w:rFonts w:ascii="Tahoma" w:hAnsi="Tahoma" w:cs="Tahoma"/>
      <w:sz w:val="16"/>
      <w:szCs w:val="16"/>
    </w:rPr>
  </w:style>
  <w:style w:type="character" w:styleId="746" w:customStyle="1">
    <w:name w:val="Текст выноски Знак"/>
    <w:basedOn w:val="730"/>
    <w:link w:val="745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747">
    <w:name w:val="No Spacing"/>
    <w:uiPriority w:val="1"/>
    <w:qFormat/>
    <w:rPr>
      <w:color w:val="000000"/>
    </w:rPr>
  </w:style>
  <w:style w:type="paragraph" w:styleId="748" w:customStyle="1">
    <w:name w:val="ConsPlusNormal"/>
    <w:rPr>
      <w:rFonts w:ascii="Calibri" w:hAnsi="Calibri" w:eastAsia="Times New Roman" w:cs="Calibri"/>
      <w:sz w:val="22"/>
      <w:szCs w:val="20"/>
      <w:lang w:bidi="ar-SA"/>
    </w:rPr>
  </w:style>
  <w:style w:type="paragraph" w:styleId="749">
    <w:name w:val="Normal (Web)"/>
    <w:basedOn w:val="72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character" w:styleId="750" w:customStyle="1">
    <w:name w:val="Сноска_"/>
    <w:basedOn w:val="730"/>
    <w:link w:val="751"/>
    <w:rPr>
      <w:rFonts w:ascii="Times New Roman" w:hAnsi="Times New Roman" w:eastAsia="Times New Roman" w:cs="Times New Roman"/>
    </w:rPr>
  </w:style>
  <w:style w:type="paragraph" w:styleId="751" w:customStyle="1">
    <w:name w:val="Сноска"/>
    <w:basedOn w:val="729"/>
    <w:link w:val="750"/>
    <w:pPr>
      <w:ind w:left="260"/>
    </w:pPr>
    <w:rPr>
      <w:rFonts w:ascii="Times New Roman" w:hAnsi="Times New Roman" w:eastAsia="Times New Roman" w:cs="Times New Roman"/>
      <w:color w:val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EA9105BD92C81C31E35299B72DB9F362ED8B11DD7315E7A357D309FEF9CFA547A9C1E10FA1F13E34AEBA7380EDT2q7N" TargetMode="External"/><Relationship Id="rId13" Type="http://schemas.openxmlformats.org/officeDocument/2006/relationships/hyperlink" Target="consultantplus://offline/ref=EA9105BD92C81C31E35299B72DB9F362ED8B11DD7315E7A357D309FEF9CFA547A9C1E10FA1F13E34AEBA7380EDT2q7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1684-BCC2-4837-94B2-4CAA46E3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svetaeva-lm</dc:creator>
  <cp:revision>72</cp:revision>
  <dcterms:created xsi:type="dcterms:W3CDTF">2023-03-25T11:14:00Z</dcterms:created>
  <dcterms:modified xsi:type="dcterms:W3CDTF">2025-04-01T10:47:12Z</dcterms:modified>
</cp:coreProperties>
</file>