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-68" w:vertAnchor="text" w:tblpY="217" w:leftFromText="180" w:topFromText="0" w:rightFromText="180" w:bottomFromText="0"/>
        <w:tblW w:w="95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1701"/>
        <w:gridCol w:w="3889"/>
      </w:tblGrid>
      <w:tr>
        <w:tblPrEx/>
        <w:trPr>
          <w:trHeight w:val="11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850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ЧĂВАШ РЕСПУБЛИКИН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ПАТШАЛĂХĂН ПУРĂН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АЛЛИ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 ÇУРТ-ЙĔР ИНСПЕКЦИЙĔ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36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  <w:t xml:space="preserve">П Р И К А З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eastAsia="ru-RU"/>
              </w:rPr>
              <w:t xml:space="preserve">Шупашкар хули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color w:val="000000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color w:val="00000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821" cy="58120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821" cy="581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.02pt;height:45.76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ГОСУДАРСТВЕННАЯ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ЖИЛИЩНАЯ ИНСПЕКЦИЯ ЧУВАШСКОЙ РЕСПУБЛИКИ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36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П Р И К А З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____________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_______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  <w:p>
            <w:pPr>
              <w:pStyle w:val="850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Cs/>
                <w:sz w:val="20"/>
                <w:szCs w:val="20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eastAsia="ru-RU"/>
              </w:rPr>
              <w:t xml:space="preserve">г.Чебоксары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</w:p>
          <w:p>
            <w:pPr>
              <w:pStyle w:val="850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spacing w:val="2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spacing w:after="0" w:line="360" w:lineRule="atLeast"/>
              <w:widowControl w:val="off"/>
              <w:rPr>
                <w:rFonts w:ascii="PT Astra Serif" w:hAnsi="PT Astra Serif" w:cs="PT Astra Serif"/>
                <w:bCs/>
                <w:spacing w:val="20"/>
                <w:sz w:val="18"/>
                <w:szCs w:val="18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Cs/>
                <w:spacing w:val="20"/>
                <w:sz w:val="18"/>
                <w:szCs w:val="18"/>
                <w:lang w:eastAsia="ru-RU"/>
              </w:rPr>
            </w:r>
            <w:r>
              <w:rPr>
                <w:rFonts w:ascii="PT Astra Serif" w:hAnsi="PT Astra Serif" w:cs="PT Astra Serif"/>
                <w:bCs/>
                <w:spacing w:val="20"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spacing w:val="20"/>
                <w:sz w:val="18"/>
                <w:szCs w:val="18"/>
              </w:rPr>
            </w:r>
          </w:p>
        </w:tc>
      </w:tr>
    </w:tbl>
    <w:p>
      <w:pPr>
        <w:pStyle w:val="850"/>
        <w:spacing w:after="0"/>
        <w:rPr>
          <w:rFonts w:ascii="PT Astra Serif" w:hAnsi="PT Astra Serif" w:cs="PT Astra Serif"/>
          <w:vanish/>
        </w:rPr>
      </w:pPr>
      <w:r>
        <w:rPr>
          <w:rFonts w:ascii="PT Astra Serif" w:hAnsi="PT Astra Serif" w:eastAsia="PT Astra Serif" w:cs="PT Astra Serif"/>
          <w:vanish/>
        </w:rPr>
      </w:r>
      <w:r>
        <w:rPr>
          <w:rFonts w:ascii="PT Astra Serif" w:hAnsi="PT Astra Serif" w:cs="PT Astra Serif"/>
          <w:vanish/>
        </w:rPr>
      </w:r>
      <w:r>
        <w:rPr>
          <w:rFonts w:ascii="PT Astra Serif" w:hAnsi="PT Astra Serif" w:cs="PT Astra Serif"/>
          <w:vanish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</w:tblGrid>
      <w:tr>
        <w:tblPrEx/>
        <w:trPr>
          <w:trHeight w:val="11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spacing w:after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О внесении изменений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 в приказ 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Го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уда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ственной жилищной инспекции Чува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ской Республики от 21 сентября 2020 г. № 54-од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</w:tbl>
    <w:p>
      <w:pPr>
        <w:pStyle w:val="850"/>
        <w:ind w:firstLine="709"/>
        <w:jc w:val="both"/>
        <w:spacing w:before="360"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0"/>
        <w:ind w:firstLine="720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Внести в Положение об Общественном совете при Государственной жилищной инспекции Чувашской Республики, утвержденное приказом Государственной жилищной инспекции Чу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вашской Республики от 21 сентября 2020 г. № 54-од (зарегистрирован в Государственной службе Чувашской Республики по делам юстиции 8 октября 2020 г., регистрационный № 6330) с изменениями, внесенными приказами Государственной жилищной 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от 1 октября 2021 г. № 69-од (зарегистрирован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 октября 2021 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регистрационный № 7214), от 12 января 2023 г. № 1-од (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30 января 2023 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регистрационный № 8356)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следующие изменения:</w:t>
      </w:r>
      <w:r>
        <w:rPr>
          <w:rFonts w:ascii="PT Astra Serif" w:hAnsi="PT Astra Serif" w:eastAsia="PT Astra Serif" w:cs="PT Astra Serif"/>
          <w:sz w:val="26"/>
          <w:szCs w:val="26"/>
        </w:rPr>
      </w:r>
      <w:r/>
    </w:p>
    <w:p>
      <w:pPr>
        <w:ind w:firstLine="720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подпункте 3 пункта 2.17 раздела II слова «органов исполнительной власти Чувашской Республики» заменить словами «исполнительных органов Чувашской Республики»;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20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абзац второй подпункта «а» пункта 4.1 раздела IV 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20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«рассмотрение проектов общественно значимых правовых актов Чувашской Республики, нормативных правовых актов и документов стратегического планирования, направленных на сохранение и укрепление традиционных российских духовно-нравственных ценностей и иных доку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ментов, разрабатываемых Госжилинспекцией Чувашии;».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50"/>
        <w:ind w:firstLine="720"/>
        <w:jc w:val="both"/>
        <w:spacing w:after="0" w:line="240" w:lineRule="auto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eastAsia="PT Astra Serif" w:cs="PT Astra Serif"/>
          <w:sz w:val="26"/>
          <w:szCs w:val="26"/>
        </w:rPr>
      </w:r>
      <w:r/>
    </w:p>
    <w:p>
      <w:pPr>
        <w:pStyle w:val="850"/>
        <w:ind w:firstLine="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0"/>
        <w:ind w:firstLine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0"/>
        <w:ind w:firstLine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0"/>
        <w:ind w:firstLine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308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уководител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–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главн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50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государственн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жилищн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50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инспектор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5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5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В.В. Кочетков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200" w:line="276" w:lineRule="auto"/>
    </w:pPr>
    <w:rPr>
      <w:sz w:val="26"/>
      <w:szCs w:val="26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Текст выноски"/>
    <w:basedOn w:val="850"/>
    <w:next w:val="854"/>
    <w:link w:val="85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cs="Tahoma"/>
      <w:sz w:val="16"/>
      <w:szCs w:val="16"/>
    </w:rPr>
  </w:style>
  <w:style w:type="table" w:styleId="856">
    <w:name w:val="Сетка таблицы"/>
    <w:basedOn w:val="852"/>
    <w:next w:val="856"/>
    <w:link w:val="850"/>
    <w:uiPriority w:val="59"/>
    <w:tblPr/>
  </w:style>
  <w:style w:type="paragraph" w:styleId="857">
    <w:name w:val="Верхний колонтитул"/>
    <w:basedOn w:val="850"/>
    <w:next w:val="857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0"/>
      <w:lang w:val="en-US" w:eastAsia="en-US"/>
    </w:rPr>
  </w:style>
  <w:style w:type="character" w:styleId="858">
    <w:name w:val="Верхний колонтитул Знак"/>
    <w:next w:val="858"/>
    <w:link w:val="857"/>
    <w:uiPriority w:val="99"/>
    <w:rPr>
      <w:rFonts w:ascii="Calibri" w:hAnsi="Calibri"/>
      <w:sz w:val="22"/>
    </w:rPr>
  </w:style>
  <w:style w:type="paragraph" w:styleId="859">
    <w:name w:val="Нижний колонтитул"/>
    <w:basedOn w:val="850"/>
    <w:next w:val="859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0"/>
      <w:lang w:val="en-US" w:eastAsia="en-US"/>
    </w:rPr>
  </w:style>
  <w:style w:type="character" w:styleId="860">
    <w:name w:val="Нижний колонтитул Знак"/>
    <w:next w:val="860"/>
    <w:link w:val="859"/>
    <w:uiPriority w:val="99"/>
    <w:rPr>
      <w:rFonts w:ascii="Calibri" w:hAnsi="Calibri"/>
      <w:sz w:val="22"/>
    </w:rPr>
  </w:style>
  <w:style w:type="paragraph" w:styleId="861">
    <w:name w:val="ConsPlusNormal"/>
    <w:next w:val="861"/>
    <w:link w:val="850"/>
    <w:rPr>
      <w:sz w:val="26"/>
      <w:szCs w:val="26"/>
      <w:lang w:val="ru-RU" w:eastAsia="en-US" w:bidi="ar-SA"/>
    </w:rPr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  <w:style w:type="paragraph" w:styleId="86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Н.Е.</dc:creator>
  <cp:revision>13</cp:revision>
  <dcterms:created xsi:type="dcterms:W3CDTF">2024-06-13T07:10:00Z</dcterms:created>
  <dcterms:modified xsi:type="dcterms:W3CDTF">2025-01-21T13:57:26Z</dcterms:modified>
  <cp:version>917504</cp:version>
</cp:coreProperties>
</file>