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7C" w:rsidRPr="008C3DE7" w:rsidRDefault="00D540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8C3DE7">
        <w:rPr>
          <w:rFonts w:ascii="Times New Roman" w:hAnsi="Times New Roman"/>
          <w:b/>
          <w:sz w:val="28"/>
          <w:szCs w:val="28"/>
          <w:lang w:eastAsia="ru-RU"/>
        </w:rPr>
        <w:t>Приложение № 1</w:t>
      </w:r>
      <w:r w:rsidR="004A2F4B" w:rsidRPr="008C3DE7">
        <w:rPr>
          <w:rFonts w:ascii="Times New Roman" w:hAnsi="Times New Roman"/>
          <w:b/>
          <w:sz w:val="28"/>
          <w:szCs w:val="28"/>
          <w:lang w:eastAsia="ru-RU"/>
        </w:rPr>
        <w:t xml:space="preserve"> .</w:t>
      </w:r>
    </w:p>
    <w:p w:rsidR="00932C7C" w:rsidRPr="0029170C" w:rsidRDefault="00D540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29170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 Т Ч Е Т</w:t>
      </w:r>
    </w:p>
    <w:p w:rsidR="00932C7C" w:rsidRDefault="00D540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реализации </w:t>
      </w:r>
      <w:r w:rsidR="007B00AB" w:rsidRPr="0029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структурных элементов государственн</w:t>
      </w:r>
      <w:r w:rsidR="00193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ой программы </w:t>
      </w:r>
      <w:r w:rsidRPr="0029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Чувашской Республики </w:t>
      </w:r>
      <w:r w:rsidR="00193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«Экономическое развитие Чувашской Республики»</w:t>
      </w:r>
    </w:p>
    <w:p w:rsidR="00193D03" w:rsidRPr="0029170C" w:rsidRDefault="00193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932C7C" w:rsidRPr="0029170C" w:rsidRDefault="00D54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70C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  <w:t>за</w:t>
      </w:r>
      <w:r w:rsidRPr="0029170C">
        <w:rPr>
          <w:rFonts w:ascii="Times New Roman" w:eastAsia="Times New Roman" w:hAnsi="Times New Roman"/>
          <w:b/>
          <w:bCs/>
          <w:caps/>
          <w:sz w:val="36"/>
          <w:szCs w:val="36"/>
          <w:u w:val="single"/>
          <w:lang w:eastAsia="ru-RU"/>
        </w:rPr>
        <w:t xml:space="preserve"> 202</w:t>
      </w:r>
      <w:r w:rsidR="007B00AB" w:rsidRPr="0029170C">
        <w:rPr>
          <w:rFonts w:ascii="Times New Roman" w:eastAsia="Times New Roman" w:hAnsi="Times New Roman"/>
          <w:b/>
          <w:bCs/>
          <w:caps/>
          <w:sz w:val="36"/>
          <w:szCs w:val="36"/>
          <w:u w:val="single"/>
          <w:lang w:eastAsia="ru-RU"/>
        </w:rPr>
        <w:t>4</w:t>
      </w:r>
      <w:r w:rsidRPr="0029170C">
        <w:rPr>
          <w:rFonts w:ascii="Times New Roman" w:eastAsia="Times New Roman" w:hAnsi="Times New Roman"/>
          <w:b/>
          <w:bCs/>
          <w:caps/>
          <w:sz w:val="36"/>
          <w:szCs w:val="36"/>
          <w:u w:val="single"/>
          <w:lang w:eastAsia="ru-RU"/>
        </w:rPr>
        <w:t xml:space="preserve"> </w:t>
      </w:r>
      <w:r w:rsidRPr="0029170C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  <w:t>г.</w:t>
      </w:r>
    </w:p>
    <w:tbl>
      <w:tblPr>
        <w:tblW w:w="5070" w:type="pct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978"/>
        <w:gridCol w:w="1844"/>
        <w:gridCol w:w="9356"/>
      </w:tblGrid>
      <w:tr w:rsidR="00932C7C" w:rsidRPr="0029170C" w:rsidTr="008F72C8">
        <w:trPr>
          <w:tblHeader/>
        </w:trPr>
        <w:tc>
          <w:tcPr>
            <w:tcW w:w="272" w:type="pct"/>
          </w:tcPr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9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93" w:type="pct"/>
          </w:tcPr>
          <w:p w:rsidR="00932C7C" w:rsidRPr="0029170C" w:rsidRDefault="00D54039" w:rsidP="00FF369C">
            <w:pPr>
              <w:spacing w:after="0" w:line="240" w:lineRule="auto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-венной</w:t>
            </w:r>
            <w:proofErr w:type="gramEnd"/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Чувашс</w:t>
            </w:r>
            <w:proofErr w:type="spellEnd"/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-кой Республики</w:t>
            </w:r>
            <w:r w:rsidR="00FF369C"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, структурного элемента государственной программы Чувашской   Республики (ВП, РП, КПМ)</w:t>
            </w:r>
          </w:p>
        </w:tc>
        <w:tc>
          <w:tcPr>
            <w:tcW w:w="615" w:type="pct"/>
          </w:tcPr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выполнении соответствующего мероприятия</w:t>
            </w:r>
            <w:proofErr w:type="gramStart"/>
            <w:r w:rsidRPr="0029170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932C7C" w:rsidRPr="0029170C" w:rsidRDefault="00D54039" w:rsidP="00DD0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29170C">
              <w:rPr>
                <w:rFonts w:ascii="Times New Roman" w:hAnsi="Times New Roman"/>
                <w:b/>
                <w:sz w:val="36"/>
                <w:szCs w:val="36"/>
                <w:vertAlign w:val="superscript"/>
                <w:lang w:eastAsia="ru-RU"/>
              </w:rPr>
              <w:t>(в 202</w:t>
            </w:r>
            <w:r w:rsidR="00DD0E2A" w:rsidRPr="0029170C">
              <w:rPr>
                <w:rFonts w:ascii="Times New Roman" w:hAnsi="Times New Roman"/>
                <w:b/>
                <w:sz w:val="36"/>
                <w:szCs w:val="36"/>
                <w:vertAlign w:val="superscript"/>
                <w:lang w:eastAsia="ru-RU"/>
              </w:rPr>
              <w:t>4</w:t>
            </w:r>
            <w:r w:rsidRPr="0029170C">
              <w:rPr>
                <w:rFonts w:ascii="Times New Roman" w:hAnsi="Times New Roman"/>
                <w:b/>
                <w:sz w:val="36"/>
                <w:szCs w:val="36"/>
                <w:vertAlign w:val="superscript"/>
                <w:lang w:eastAsia="ru-RU"/>
              </w:rPr>
              <w:t xml:space="preserve"> году)</w:t>
            </w:r>
          </w:p>
        </w:tc>
        <w:tc>
          <w:tcPr>
            <w:tcW w:w="3120" w:type="pct"/>
          </w:tcPr>
          <w:p w:rsidR="00932C7C" w:rsidRPr="0029170C" w:rsidRDefault="00D54039" w:rsidP="00ED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  <w:lang w:eastAsia="ru-RU"/>
              </w:rPr>
            </w:pPr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  <w:proofErr w:type="gramStart"/>
            <w:r w:rsidRPr="0029170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9170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(</w:t>
            </w:r>
            <w:r w:rsidRPr="0029170C">
              <w:rPr>
                <w:rFonts w:ascii="Times New Roman" w:hAnsi="Times New Roman"/>
                <w:b/>
                <w:sz w:val="32"/>
                <w:szCs w:val="32"/>
                <w:vertAlign w:val="superscript"/>
                <w:lang w:eastAsia="ru-RU"/>
              </w:rPr>
              <w:t>данные 202</w:t>
            </w:r>
            <w:r w:rsidR="00ED1ED8" w:rsidRPr="0029170C">
              <w:rPr>
                <w:rFonts w:ascii="Times New Roman" w:hAnsi="Times New Roman"/>
                <w:b/>
                <w:sz w:val="32"/>
                <w:szCs w:val="32"/>
                <w:vertAlign w:val="superscript"/>
                <w:lang w:eastAsia="ru-RU"/>
              </w:rPr>
              <w:t>4</w:t>
            </w:r>
            <w:r w:rsidRPr="0029170C">
              <w:rPr>
                <w:rFonts w:ascii="Times New Roman" w:hAnsi="Times New Roman"/>
                <w:b/>
                <w:sz w:val="32"/>
                <w:szCs w:val="32"/>
                <w:vertAlign w:val="superscript"/>
                <w:lang w:eastAsia="ru-RU"/>
              </w:rPr>
              <w:t xml:space="preserve"> года)</w:t>
            </w:r>
          </w:p>
          <w:p w:rsidR="000E3E46" w:rsidRPr="0029170C" w:rsidRDefault="000E3E46" w:rsidP="00EF3E1B">
            <w:pPr>
              <w:spacing w:after="0" w:line="240" w:lineRule="auto"/>
              <w:ind w:hanging="24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170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Представляется краткая информация о проделанной работе</w:t>
            </w:r>
          </w:p>
        </w:tc>
      </w:tr>
    </w:tbl>
    <w:p w:rsidR="00932C7C" w:rsidRPr="0029170C" w:rsidRDefault="00932C7C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498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30"/>
        <w:gridCol w:w="1897"/>
        <w:gridCol w:w="41"/>
        <w:gridCol w:w="9458"/>
      </w:tblGrid>
      <w:tr w:rsidR="00932C7C" w:rsidRPr="0029170C" w:rsidTr="003C2C42">
        <w:trPr>
          <w:tblHeader/>
        </w:trPr>
        <w:tc>
          <w:tcPr>
            <w:tcW w:w="144" w:type="pct"/>
            <w:tcBorders>
              <w:left w:val="none" w:sz="4" w:space="0" w:color="000000"/>
            </w:tcBorders>
          </w:tcPr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</w:tcPr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gridSpan w:val="2"/>
          </w:tcPr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932C7C" w:rsidRPr="0029170C" w:rsidRDefault="00D5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428" w:rsidRPr="0029170C" w:rsidTr="003C2C42">
        <w:tc>
          <w:tcPr>
            <w:tcW w:w="5000" w:type="pct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b/>
                <w:sz w:val="20"/>
                <w:szCs w:val="20"/>
              </w:rPr>
              <w:t xml:space="preserve">16. </w:t>
            </w:r>
            <w:r w:rsidRPr="002917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Государственная программа Чувашской Республики «Экономическое развитие Чувашской Республики»</w:t>
            </w:r>
          </w:p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Региональный проект "Поддержка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По итогам 2024 года поставленные задачи выполнены, целевые показатели и результаты достигнуты. Кассовое исполнение составило 100%.</w:t>
            </w: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Региональный проект "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</w:rPr>
              <w:t>Предакселерация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По итогам 2024 года поставленные задачи выполнены, целевые показатели и результаты достигнуты. Кассовое исполнение составило 100%.</w:t>
            </w: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Региональный проект "Акселерация субъектов МСП"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По итогам 2024 года поставленные задачи выполнены, целевые показатели и результаты достигнуты. Кассовое исполнение составило 100%.</w:t>
            </w: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Региональный проект "Оказание государственной поддержки новым инвестиционным проектам"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В рамках постановления РФ № 1704 оказана государственная поддержка в форме возмещения затрат 10 юридическим лицам, реализующим новые инвестиционные проекты, на сумму 619,3 млн. рублей </w:t>
            </w:r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(ООО «Индустриальный парк», ООО «Завод ОБД», ООО «ПК «</w:t>
            </w:r>
            <w:proofErr w:type="spell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Промтрактор</w:t>
            </w:r>
            <w:proofErr w:type="spell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», ПАО «</w:t>
            </w:r>
            <w:proofErr w:type="spell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Химпром»</w:t>
            </w:r>
            <w:proofErr w:type="gram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,О</w:t>
            </w:r>
            <w:proofErr w:type="gram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ОО</w:t>
            </w:r>
            <w:proofErr w:type="spell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 xml:space="preserve"> «Волга Премиум», ООО « УК «Новый ресурс», ЗАО «Чебоксарское предприятие «</w:t>
            </w:r>
            <w:proofErr w:type="spell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Сеспель</w:t>
            </w:r>
            <w:proofErr w:type="spell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», ЗАО «</w:t>
            </w:r>
            <w:proofErr w:type="spell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Хлебокомбинат</w:t>
            </w:r>
            <w:proofErr w:type="spell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 xml:space="preserve"> Петровский», ООО «</w:t>
            </w:r>
            <w:proofErr w:type="spell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СпецВагонДеталь</w:t>
            </w:r>
            <w:proofErr w:type="spell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», ООО «</w:t>
            </w:r>
            <w:proofErr w:type="spellStart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ЧебоМилк</w:t>
            </w:r>
            <w:proofErr w:type="spellEnd"/>
            <w:r w:rsidRPr="0029170C">
              <w:rPr>
                <w:rFonts w:ascii="Times New Roman" w:eastAsia="PT Astra Serif" w:hAnsi="Times New Roman"/>
                <w:iCs/>
                <w:sz w:val="20"/>
                <w:szCs w:val="20"/>
              </w:rPr>
              <w:t>»)</w:t>
            </w:r>
            <w:r w:rsidRPr="0029170C">
              <w:rPr>
                <w:rFonts w:ascii="Times New Roman" w:hAnsi="Times New Roman"/>
                <w:iCs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Ведомственный проект "Поддержка субъектов малого и среднего предпринимательства в Чувашской Республике в рамках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реализации мероприятий индивидуальной </w:t>
            </w:r>
            <w:r w:rsidRPr="0029170C">
              <w:rPr>
                <w:rFonts w:ascii="Times New Roman" w:hAnsi="Times New Roman"/>
                <w:sz w:val="20"/>
                <w:szCs w:val="20"/>
              </w:rPr>
              <w:lastRenderedPageBreak/>
              <w:t>программы социально-экономического развития Чувашской Республики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 на 2020 - 2024 годы"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ind w:firstLine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В рамках реализации индивидуальной программы социально-экономического развития Чувашской Республики на 2020 - 2024 годы, утвержденной распоряжением Правительства Российской Федерации от 3 апреля 2020 года № 865-р, завершено строительство инфраструктуры государственных индустриальных парков в г. Новочебоксарске и </w:t>
            </w:r>
            <w:proofErr w:type="spellStart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>Батыревском</w:t>
            </w:r>
            <w:proofErr w:type="spellEnd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 муниципальном округе.</w:t>
            </w:r>
          </w:p>
          <w:p w:rsidR="00D75428" w:rsidRPr="0029170C" w:rsidRDefault="00D75428" w:rsidP="00980B59">
            <w:pPr>
              <w:spacing w:after="0" w:line="240" w:lineRule="auto"/>
              <w:ind w:firstLine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Индустриальный парк в г. Новочебоксарска выступает государственной площадкой ОЭЗ ППТ «Новочебоксарск». </w:t>
            </w:r>
          </w:p>
          <w:p w:rsidR="00D75428" w:rsidRPr="0029170C" w:rsidRDefault="00D75428" w:rsidP="00980B59">
            <w:pPr>
              <w:spacing w:after="0" w:line="240" w:lineRule="auto"/>
              <w:ind w:firstLine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В настоящее время в индустриальном парке в г. Новочебоксарске зарегистрировано 3 резидента - ООО </w:t>
            </w:r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lastRenderedPageBreak/>
              <w:t>«Авиатор», ООО «Управляющая компания «Индустриальный парк «</w:t>
            </w:r>
            <w:proofErr w:type="spellStart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>Сеспель</w:t>
            </w:r>
            <w:proofErr w:type="spellEnd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» </w:t>
            </w:r>
            <w:proofErr w:type="gramStart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>и ООО</w:t>
            </w:r>
            <w:proofErr w:type="gramEnd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 «</w:t>
            </w:r>
            <w:proofErr w:type="spellStart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>ИнтерЭнерго</w:t>
            </w:r>
            <w:proofErr w:type="spellEnd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». В индустриальном парке в </w:t>
            </w:r>
            <w:proofErr w:type="spellStart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>Батыревском</w:t>
            </w:r>
            <w:proofErr w:type="spellEnd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 муниципальном округе </w:t>
            </w:r>
            <w:proofErr w:type="gramStart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>намерены</w:t>
            </w:r>
            <w:proofErr w:type="gramEnd"/>
            <w:r w:rsidRPr="0029170C">
              <w:rPr>
                <w:rFonts w:ascii="Times New Roman" w:eastAsia="PT Astra Serif" w:hAnsi="Times New Roman"/>
                <w:sz w:val="20"/>
                <w:szCs w:val="20"/>
              </w:rPr>
              <w:t xml:space="preserve"> осуществлять свою деятельность 7 потенциальных резидентов.</w:t>
            </w:r>
          </w:p>
          <w:p w:rsidR="00D75428" w:rsidRPr="0029170C" w:rsidRDefault="00D75428" w:rsidP="00980B59">
            <w:pPr>
              <w:spacing w:after="0" w:line="240" w:lineRule="auto"/>
              <w:ind w:firstLine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Отдел развития предпринимательства Минэкономразвития Чувашии является ответственным исполнителем показателей ведомственного проекта «Поддержка субъектов малого и среднего предпринимательства в Чувашской Республике в рамках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 на 2020 - 2024 годы»:</w:t>
            </w:r>
          </w:p>
          <w:p w:rsidR="00D75428" w:rsidRPr="0029170C" w:rsidRDefault="00D75428" w:rsidP="00980B5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4" w:firstLine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«Количество созданных постоянных рабочих мест», по итогам 2024 года фактическое значение составило 295 единиц, что на 1,7% больше установленного плана (290 единиц).</w:t>
            </w:r>
          </w:p>
          <w:p w:rsidR="00D75428" w:rsidRPr="0029170C" w:rsidRDefault="00D75428" w:rsidP="00980B59">
            <w:pPr>
              <w:spacing w:after="0" w:line="240" w:lineRule="auto"/>
              <w:ind w:firstLine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«Объем привлеченных инвестиций в основной капитал (без бюджетных инвестиций)», по итогам 2024 года фактическое значение составило 1 378 млн. рублей, что на 72,3% больше установленного плана (800 млн. рублей).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pStyle w:val="ConsPlusNormal"/>
              <w:jc w:val="both"/>
              <w:rPr>
                <w:sz w:val="20"/>
                <w:szCs w:val="20"/>
              </w:rPr>
            </w:pPr>
            <w:r w:rsidRPr="0029170C">
              <w:rPr>
                <w:sz w:val="20"/>
                <w:szCs w:val="20"/>
              </w:rPr>
              <w:t>Комплекс процессных мероприятий "Совершенствование системы государственного стратегического управления"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На официальном сайте Минэкономразвития Чувашии в информационно-телекоммуникационной сети «Интернет» ежемесячно размещаются результаты мониторинга социально-экономического развития Чувашской Республики (в виде таблицы) и ежеквартально (в виде расширенной справки), ежеквартально основные показатели социально-экономического развития Чувашской Республики в сравнении с Россией (в виде таблицы).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Ежемесячно на еженедельной планерке у Главы Чувашской Республики  с участием глав муниципальных образований Чувашской Республики обсуждаются предварительные итоги социально-экономического развития Чувашской Республики, где выявляются тренды регионального развития в динамике  и на уровне регионов Приволжского Федерального округа, фиксируются проблемы регионального развития.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Распоряжением Кабинета Министров Чувашской Республики от 28.06.2024 № 644-р «Об одобрении прогноза социально-экономического развития Чувашской Республики на 2025 – 2027 годы» (ред. от 10.12.2024) одобрен прогноз социально-экономического развития Чувашской Республики на 2025–2027 годы.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Основные показатели прогноза социально-экономического развития Чувашской Республики на 2025–2027 годы (форма 2п) с пояснительной запиской (I этап) направлены в Минэкономразвития России письмом от 5 июля 2024 г. № 03/1/07-10757. Уточненный прогноз социально-экономического развития Чувашской Республики на 2025–2027 годы (II этап) направлен в Минэкономразвития России письмом от 8 ноября 2024 г. № 03/07-18278. Одновременно данные по I и II этапам прогноза представлены в Минэкономразвития России посредством государственной автоматизированной информационной системы «Управление».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Кроме того, прогнозы социально-экономического развития Чувашской Республики на среднесрочный период размещены на официальном сайте Минэкономразвития Чувашии в информационно-телекоммуникационной сети «Интернет».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 рамках оказания Территориальным органом Федеральной службы государственной статистики по Чувашской Республике (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</w:rPr>
              <w:t>Чувашстат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</w:rPr>
              <w:t>) информационных услуг для государственных нужд Чувашской Республики заключен государственный контракт</w:t>
            </w: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>от 26 января 2024 года № 1 на оказание информационных услуг для государственных нужд Чувашской Республики.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lastRenderedPageBreak/>
              <w:t>Комплексная программа социально-экономического развития Чувашской Республики на 2025–2030 годы (далее – Комплексная программа) одобрена распоряжением Кабинета Министров Чувашской Республики от 28 декабря 2024 г. № 1445-р.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>Комплексная программа - масштабный межведомственный документ регионального стратегического планирования, который определит вектор и конкретные действия по развитию Чувашской Республики на ближайшие 6 лет.</w:t>
            </w:r>
            <w:proofErr w:type="gramEnd"/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Для обеспечения качественной и своевременной разработки Комплексной программы заключен государственный контракт № 10 от 23.10.2024 г. на выполнение научно-исследовательской работы «Разработка Комплексной программы социально-экономического развития Чувашской Республики на 2025-2030 годы» (далее – государственный контракт). Государственный контракт исполнен в полном объеме в установленные сроки.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>В рамках разработки Комплексной программы проделана глубокая аналитическая и комплексная проектная работа, как на уровне региона, так и территорий - муниципальных образований: проведен анализ и интегрированы на уровень региона 28 лучших мировых и отраслевых практик, проведен аудит свыше 2000 инвестиционных и инфраструктурных проектов, в разрезе 25 отраслевых направлений сформированы 120 трендов регионального развития, определены на основе системного анализа экономического и инфраструктурного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 потенциала муниципалитетов их проблемные зоны и точки  роста, сформирована кластерная модель пространственного развития региона.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Подходы и методология разработки Комплексной программы включили в себя: социологический опрос; сбор инициатив от населения; 4 стратегические сессии; 23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>фокус-группы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</w:rPr>
              <w:t>; более 50 экспертных интервью; 2 проектные сессии с бизнесом и научным сообществом.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С целью повышения информированности и качества принимаемых решений при разработке Комплексной программы для максимально широкого вовлечения населения было проведен опрос общественного мнения о приоритетах развития региона и сбор инициатив, предложений и пожеланий на региональной цифровой платформе. В опросе приняли участие более  23 400 человек, от населения поступила 891 инициатива.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Комплексная программа построена по территориально-отраслевому принципу, проработана с точки зрения реализации проектов и мероприятий в каждом муниципальном образовании республики. Ее особенность - выделение нескольких групп проектов, взаимоувязанных между собой. В состав Комплексной программы вошли 33 мега-проекта, 40 проектов-драйверов муниципалитетов, около 620 инвестиционных проектов, около 2,4 тыс. инфраструктурных проектов.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25 декабря 2024 года состоялось совместное заседание Высшего экономического совета Чувашской Республики и Общественной палаты Чувашской Республики, в рамках которого прошла презентация Комплексной программы.</w:t>
            </w: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"Формирование благоприятного инвестиционного климата"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В рамках реализации мероприятия министерством проводится работа по консультативной и методической помощи по вопросам внедрения Стандарта развития конкуренции в субъектах Российской Федерации (далее – Стандарт), в том числе реализации составляющих Стандарта, достижению целей и соблюдению принципов внедрения Стандарта. 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6 марта 2024 г. проведено заседание рабочей группы по мониторингу внедрения в Чувашской Республике стандарта развития конкуренции в субъектах Российской Федерации при Совете при Главе </w:t>
            </w:r>
            <w:r w:rsidRPr="0029170C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 по стратегическому развитию и проектной деятельности.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22-23 мая 2024 г. представители республики и администраций отдельных муниципальных округов (далее – МО) приняли участие в работе ежегодного семинара-совещания по вопросам развития конкуренции в субъектах Российской Федерации в       г. Казань.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10 июня 2024 г. проведен семинар-совещание и заседание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Республики. Участники: 42 представителя исполнительных органов и  специалистов органов местного самоуправления. С участниками семинара обсуждены итоги рейтинга значений показателя деятельности муниципальных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 за 2023 год. По итогам рейтинга за 2023 год первое место заняла администрация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 МО, второе место – Чебоксарский МО, третье место -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</w:rPr>
              <w:t>Цивильский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 МО. Среди городов первое место заняла администрация г. Чебоксары, второе место – г. Новочебоксарск, г. Канаш занял третье место.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 4 кв. 2024 г. проведены социологическое исследование и опросы предпринимателей и населения Чувашской Республики, включающие мониторинг административных барьеров и оценки состояния конкурентной среды субъектами предпринимательской деятельности, удовлетворенности потребителей качеством товаров и услуг на товарных рынках в Чувашской Республике и состоянием ценовой конкуренции.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В опросе приняло участие 1500 представителей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>бизнес-сообщества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Республики, из них 419 функционируют в городских округах (27,9%) и 1081 в МО (72,1%)  и 6700 жителей республики по всем городским и МО.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Кабинета Министров Чувашской Республики от 29 ноября 2012 года №532 «О проведении оценки регулирующего воздействия проектов нормативных правовых актов Чувашской Республики» (далее – постановление № 532) в 2024 году продолжалось применение процедуры  ОРВ всеми исполнительными органами Чувашской Республики. Минэкономразвития Чувашии подготовлено 134 заключения об ОРВ к сводным отчетам об ОРВ.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Публичные консультации с субъектами предпринимательской и инвестиционной деятельности проведены в отношении 80 проектов нормативных правовых актов Чувашской Республики (далее – проекты актов).</w:t>
            </w:r>
          </w:p>
          <w:p w:rsidR="00D75428" w:rsidRPr="0029170C" w:rsidRDefault="00D75428" w:rsidP="00980B59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В процессе публичных консультаций к рассмотрению проектов актов привлечено более 4,7 тыс. участников, поступило 1,1 тыс. отзывов или 23,1% от общего числа участников. В среднем на 1 проект акта поступило 13,5 отзывов. </w:t>
            </w:r>
          </w:p>
          <w:p w:rsidR="00D75428" w:rsidRDefault="00D75428" w:rsidP="001B61CF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 ходе ОРВ исключены избыточные обязанности и ограничения в 22 проектах актов, в 1 проекте акта уточнен срок его действия (6 лет) в связи с вводимыми обязательными требованиями для бизнеса. Эффекты от проведения ОРВ оценены в объеме 120,0 млн. рублей. В 2024 году проведено два заседания рабочей группы  по вопросам ОРВ в Чувашской Республике и 5 обучающих семинаров для специалистов исполнительных органов и органов местного самоуправления.</w:t>
            </w:r>
          </w:p>
          <w:p w:rsidR="001B61CF" w:rsidRDefault="001B61CF" w:rsidP="001B61CF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61CF" w:rsidRPr="0029170C" w:rsidRDefault="001B61CF" w:rsidP="001B61CF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pStyle w:val="ConsPlusNormal"/>
              <w:jc w:val="both"/>
              <w:rPr>
                <w:sz w:val="20"/>
                <w:szCs w:val="20"/>
              </w:rPr>
            </w:pPr>
            <w:r w:rsidRPr="0029170C">
              <w:rPr>
                <w:sz w:val="20"/>
                <w:szCs w:val="20"/>
              </w:rPr>
              <w:t>Комплекс процессных мероприятий "Реализация мероприятий в целях развития субъектов малого и среднего предпринимательства"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Отдел развития предпринимательства Минэкономразвития Чувашии является ответственным исполнителем показателей комплекса процессных мероприятий «Реализация мероприятий в целях развития субъектов малого и среднего предпринимательства»:</w:t>
            </w:r>
          </w:p>
          <w:p w:rsidR="00D75428" w:rsidRPr="0029170C" w:rsidRDefault="00D75428" w:rsidP="00980B5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«Ежегодный прирост количества мастеров народных художественных промыслов, получивших звание «Мастер народных художественных промыслов Чувашской Республики», </w:t>
            </w:r>
            <w:r w:rsidRPr="002917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итогам 2024 года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установленное плановое значение исполнено на 100%.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</w:rPr>
              <w:t xml:space="preserve">«Количество действующих и созданных постоянных рабочих мест при предоставлении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</w:t>
            </w:r>
            <w:r w:rsidRPr="002917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итогам 2024 года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фактическое значение составило 1 454 единиц, что в 3,2 раза больше установленного плана (450 единиц).</w:t>
            </w:r>
            <w:proofErr w:type="gramEnd"/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pStyle w:val="ConsPlusNormal"/>
              <w:jc w:val="both"/>
              <w:rPr>
                <w:sz w:val="20"/>
                <w:szCs w:val="20"/>
              </w:rPr>
            </w:pPr>
            <w:r w:rsidRPr="0029170C">
              <w:rPr>
                <w:sz w:val="20"/>
                <w:szCs w:val="20"/>
              </w:rPr>
              <w:t>Комплекс процессных мероприятий "Организация предоставления государственных и муниципальных услуг по принципу "одного окна"</w:t>
            </w:r>
          </w:p>
          <w:p w:rsidR="00D75428" w:rsidRPr="0029170C" w:rsidRDefault="00D75428" w:rsidP="00980B5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D75428" w:rsidRPr="0029170C" w:rsidRDefault="00D75428" w:rsidP="00980B5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"Совершенствование потребительского рынка и системы защиты прав потребителей"</w:t>
            </w:r>
          </w:p>
        </w:tc>
        <w:tc>
          <w:tcPr>
            <w:tcW w:w="643" w:type="pct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pct"/>
            <w:gridSpan w:val="2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2024 году разработаны новые и внесены изменения в ряд действующих законодательных и нормативных правовых актов Чувашской Республики, направленных на развитие сферы потребительского рынка: 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Кабинета Министров Чувашской Республики от 27.03.2024 г. № 136 «О внесении изменений в Постановление Кабинета Министров Чувашской Республики от 26.08.2010 № 277» (изменения в Порядок организации ярмарок на территории Чувашской Республики и продажи товаров (выполнения работ, оказания услуг) на них);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Кабинета Министров Чувашской Республики от 28.08.2024 г. № 498 «О внесении изменений в Постановление Кабинета Министров Чувашской Республики от 04.05.2007 № 97» (изменения в Порядок организации и функционирования розничных рынков на территории Чувашской Республики);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распоряжение Главы Чувашской Республики </w:t>
            </w:r>
            <w:r w:rsidRPr="0029170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 20.05.2024 г. № 219-рг-354дсп</w:t>
            </w:r>
            <w:r w:rsidRPr="0029170C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об  актуализации перечня торговых объектов (территорий), расположенных в пределах территории Чувашской Республики и подлежащих категорированию в интересах их антитеррористической защиты»;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распоряжение Главы Чувашской Республики от 04.06.2024 г. № 252-рг о внесении изменений состав Координационного совета по защите прав потребителей при Главе Чувашской Республики;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приказ Минэкономразвития Чувашии</w:t>
            </w:r>
            <w:r w:rsidRPr="0029170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от 11.06.2024 г. № 97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изменений в приказ Минэкономразвития Чувашии от 16.11.2010 № 184» (в части уточнения схемы размещения нестационарных торговых объектов)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распоряжение Кабинета Министров Чувашской Республики от 02.07.2024 № 653-р об утверждении состава рабочей группы по подготовке и проведению Форума потребительской кооперации по должностям;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Кабинета Министров Чувашской Республики от 27.11.2024 № 660 «О внесении изменений в постановление Кабинета Министров Чувашской Республики от 14.12.2016г. № 531 (рассчитаны новые нормативы минимальной обеспеченности населения Чувашской Республики площадью торговых объектов).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Сфера потребительского рынка и услуг остается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привлекательной. В Чувашской Республике насчитывается более 6,9 тыс. объектов розничной торговли, 1098 объектов общественного питания и 2584 объектов бытового обслуживания.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открыто 330 и реконструировано 48 объектов потребительского рынка, что на 55 объектов больше чем в 2023 году. Из 330 открытых объектов 204 составляют объекты розничной торговли, 47  -  общественного питания и 79 -  бытового обслуживания. В г. Чебоксары открыты магазины торговых сетей «Магнит», «Чижик», «Пятерочка»,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Йола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«Победа», «Каравай»,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Санар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». Почти во всех муниципальных образованиях увеличилось количество магазинов и предприятий, оказывающих услуги населению.  По итогам прошедшего года на открытых и отремонтированных объектах создано дополнительно 1493 рабочих места.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2024 году проводились традиционные месячники по реализации сельскохозяйственной продукции «Весна» и «Дары осени», на которых жители республики могли приобрести качественные продукты непосредственно от местных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доступным ценам.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Фактическая обеспеченность площадью стационарных торговых объектов по муниципальным и городским округам превышает рассчитанный норматив в 1,9 раза (на показатель повлияло большое количество торговых центров и комплексов в городах и муниципальных округах республики).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организациях розничной торговли продолжалась работа по привлечению покупателей путем проведения таких форм торговли, как распродажи, скидки, акции.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Политика сокращения административных барьеров при открытии объектов потребительского рынка позволила предоставить большинству жителей городов республики возможность выбора объектов различных форматов – от крупных торговых комплексов, гипермаркетов до магазинов «в шаговой доступности», широкий ассортимент товаров и услуг, различные формы расчетов (наличный и безналичный), формы обслуживания – через Интернет, доставка на дом по заявкам,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кейтеринговые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и др.</w:t>
            </w:r>
            <w:proofErr w:type="gramEnd"/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Развитая конкуренция в оптовой и розничной торговле влияет на формирование и сдерживание роста цен на основные виды товаров. Реализация комплекса мер по обеспечению сбалансированности товарных рынков в Чувашской Республике позволила Чувашской Республике, несмотря на рост цен на товары и услуги, сохранить среди регионов ПФО  и России низкий уровень цен на большинство социально значимых продовольственных товаров.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доли розничных торговых сетей в общем объеме розничного товарооборота характеризует рост конкуренции в сфере торговли. Удельный вес сетевых торговых структур в общем объеме оборота розничной торговли в январе-октябре 2024 года возрос в сравнении с 2023 годом на 0,4 процентных пункта и составил 38,1 % (37,7% - 2023 г.). Торговые сети Чувашии представлены в основном фирменными магазинами товаропроизводителей и организациями системы потребительской кооперации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более 800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объектов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, федеральные и региональные торговые сети – в более чем 750 объектах торговли.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Оборот общественного питания в 2024 году составил 18918,8 млн. рублей, что в сопоставимых ценах на 8,7% больше уровня 2023 года. Оказание платных услуг населению составило 104,8% относительно  2023 года.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Общий оборот розничной торговли во всех каналах реализации в 2024 году составил 311390,2 млн. рублей, что в сопоставимых ценах на 11,6% больше уровня 2023 года.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продажи на розничных рынках и ярмарках в обороте розничной торговли составляет 1,5%, уменьшение на 1,6 процентных пункта относительно 2023 года. За 2024 год организовано 145 мест проведения ярмарок (больше на 11 ед., чем в 2023 г.), на которых проведено 6,4 тыс. ярмарок «выходного дня». В Красноармейском, и Чебоксарском МО в 2024 г. открыты фермерские торговые площадки для реализации сельскохозяйственной продукции малыми формами хозяйствования. Функционируют 3 розничных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рынка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которых организовано 287 торговых мест.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оборудование, а также с автотранспорта. Места для торговли предоставлялись на льготной основе и бесплатно.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 целях развития конкуренции, малоформатной торговли, насыщения рынка продукцией местных производителей приняты следующие меры: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организуются переговорные площадки по взаимодействию местных производителей с торговыми сетями «День поставщика»;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реализовывались мероприятия «дорожной карты» по продвижению местных брендов, создана цифровая платформа «Чувашия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БлагоДарит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 (виртуальная выставка местных брендов с возможностью перехода на информационный ресурс бренда).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Впервые в 2024 году присуждены гранты Главы Чувашской Республики муниципальным и городским округам за содействие в продвижении продукции АПК местных производителей, которые  направлены на решение вопросов местного значения: в 3 муниципальных и 1 городском округах будут установлены 8 новых нестационарных объектов, 14 торговых прилавков и 1 объект общественного питания, благоустроено прилегающее пространство.</w:t>
            </w:r>
            <w:proofErr w:type="gramEnd"/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Большое внимание уделяется организации мероприятий, направленных на повышение квалификации и профессионализма руководителей и специалистов сферы потребительского рынка.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по вопросам развития торговли и взаимодействия производителей и организаций торговли  проведено 17 совещаний, «круглых столов», 2 заседания Координационного совета по защите прав потребителей при Главе Чувашской Республики.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2024 г. проведен республиканский конкурс лучших практик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разноформатной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торговли «Торговля Чувашии». В конкурсе приняли участие 45 организаций республики.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 19 по 22 сентября на Красной площади г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ебоксары в рамках Международного Форума потребительской кооперации проведена универсальная ярмарка, в которой  приняли участие организации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Чувашпотребсоюза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экспозицией «Покупай чувашское» (предприятия и НХП Чувашии в количестве 7 шатров).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августе 2024 года 16 ресторанов и кафе г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ебоксары представили блюда чувашской национальной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кухни в рамках Всероссийского фестиваля «Зеленое золото России-2024».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августе 2024 г. был организован конкурс профессионального мастерства в рамках фестиваля моды и красоты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Илемпи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на котором выбирали лучших среди дизайнеров, парикмахеров, визажистов, стилистов.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На базе образовательных организаций, реализующих программы среднего профессионального образования – НОУ СПО «Чебоксарский кооперативный техникум»  и  ГАПОУ Чувашской Республики «Чебоксарский экономико-технологический колледж» организованы курсы повышения квалификации официантов со сроком обучения  от 0,5 до 1 месяца. Ежегодно на базе Чебоксарского кооперативного техникума и института повышают квалификацию свыше 500 работников.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государственной политики в Чувашской Республике в сфере защиты прав потребителей осуществлялась в рамках реализации Указа Главы Чувашской Республики от 07.02.2012 № 19 «О мерах по совершенствованию защиты прав потребителей в Чувашской Республике». </w:t>
            </w:r>
          </w:p>
          <w:p w:rsidR="00D75428" w:rsidRPr="0029170C" w:rsidRDefault="00D75428" w:rsidP="00980B5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официальном сайте Минэкономразвития Чувашии функционирует портал «Защита прав потребителей» http://minec.cap.ru/action/activity/zaschita-prav-potrebitelej. </w:t>
            </w:r>
          </w:p>
          <w:p w:rsidR="00D75428" w:rsidRPr="0029170C" w:rsidRDefault="00D75428" w:rsidP="00980B5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проведения Всемирного дня защиты прав потребителей представители Минэкономразвития Чувашии в марте 2024 г. приняли участие в «круглом столе» администрации г</w:t>
            </w:r>
            <w:proofErr w:type="gramStart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ебоксары и в «круглом столе» по вопросам обязательной маркировки товаров средствами идентификации, организованном ТПП Чувашской Республики. </w:t>
            </w:r>
          </w:p>
          <w:p w:rsidR="00D75428" w:rsidRPr="0029170C" w:rsidRDefault="00D75428" w:rsidP="00980B5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библиотеках республики прошли круглые столы на тему: «Потребитель и производитель», часы правовых знаний «Грамотный потребитель», виртуальные выставки </w:t>
            </w:r>
            <w:proofErr w:type="gramStart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Всемирному дню защиты прав потребителей, оформлены книжные выставки и информационные стенды «Всемирный день защиты прав потребителя». </w:t>
            </w:r>
          </w:p>
          <w:p w:rsidR="00D75428" w:rsidRPr="0029170C" w:rsidRDefault="00D75428" w:rsidP="00980B5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 всех учреждениях высшего и среднего образования прошли мероприятия посвященные тематике Всемирного дня защиты прав потребителей «Справедливый и ответственный искусственный интеллект»: информационные дни, круглые столы, лекции, онлайн-уроки, </w:t>
            </w:r>
            <w:proofErr w:type="spellStart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-игры и др. </w:t>
            </w:r>
          </w:p>
          <w:p w:rsidR="00D75428" w:rsidRPr="0029170C" w:rsidRDefault="00D75428" w:rsidP="00980B5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 всех муниципальных и городских округах Чувашской Республики были утверждены планы мероприятий по проведению Всемирного дня защиты прав потребителей. </w:t>
            </w:r>
            <w:proofErr w:type="gramStart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официальных сайтах муниципальных и городских округов республики в сети «Интернет» размещены объявления о проведении Всемирного дня защиты прав потребителей, информационные статьи по защите прав потребителей, проведены тематические консультации, телефонные «горячие линии» по вопросам защиты прав потребителей и «круглые столы» с участием представителей территориальных отделов Управления </w:t>
            </w:r>
            <w:proofErr w:type="spellStart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Чувашской Республики – Чувашии  и ФБУЗ «Центр гигиены и эпидемиологии в Чувашской Республике</w:t>
            </w:r>
            <w:proofErr w:type="gramEnd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Чувашии», в которых также приняли участие граждане, индивидуальные предприниматели и руководители предприятий потребительского рынка.</w:t>
            </w:r>
            <w:proofErr w:type="gramEnd"/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Осуществлялось распространение буклетов и памяток на актуальные темы по защите прав потребителей.</w:t>
            </w:r>
          </w:p>
          <w:p w:rsidR="00D75428" w:rsidRPr="0029170C" w:rsidRDefault="00D75428" w:rsidP="00980B59">
            <w:pPr>
              <w:pStyle w:val="12"/>
              <w:ind w:firstLine="42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Активно функционирует Координационный совет по защите прав потребителей при Главе Чувашской Республики, созданный в целях обеспечения соблюдения прав потребителей в сфере потребительского рынка. В 2024 году проведено два заседания Координационного совета, на которых приняты решения, направленные на совершенствование отдельных направлений сферы потребительского рынка, а также рассмотрены вопросы защиты прав потребителей в сфере электронной торговли и  при оказании </w:t>
            </w:r>
            <w:r w:rsidRPr="0029170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финансовых услуг.</w:t>
            </w:r>
            <w:r w:rsidRPr="002917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результатам проводимой работы исполнительными органами и органами местного самоуправления в рейтинге субъектов Российской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(в 2021 году – 10 место).</w:t>
            </w:r>
          </w:p>
          <w:p w:rsidR="00D75428" w:rsidRPr="0029170C" w:rsidRDefault="00D75428" w:rsidP="00980B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"Содействие развитию внешнеэкономической деятельности"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«Расширение географии экспорта, % к предыдущему году» за 2024 год достигнут. 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– 101,0%.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 – 101,0%.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Чувашия в 2024 году экспортировала свою продукцию в 55 стран (в 2023 г. – 54 страны). Количество стран экспорта Чувашской Республики сократилось вдвое с 2021 года в связи с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санкционным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давлением недружественных стран (в 2021 г. – 101 страна).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Несмотря на это благодаря организации комплекса мер государственной поддержки экспортерам, перестройки логистических маршрутов, переориентации рынков сбыта внешняя торговля республики восстановилась. Наблюдается усиление внешнеэкономических связей со странами СНГ.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объем экспорта Чувашской Республики в страны СНГ составляет 73,3%.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 республику посетило 24 официальных международных делегаций из Шри-Ланки, Белоруссии, Китая, Узбекистана, Турции, Ирана, Индии, Азербайджана, в том числе 14 делегаций с участием дипломатов из различных стран (Шри-Ланка, Белоруссия, Узбекистан, Турция, Иран).</w:t>
            </w:r>
            <w:proofErr w:type="gramEnd"/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Кроме того, в сентябре 2024 года Чувашскую Республику с целью участия в Международном форуме потребительской кооперации «Кооперация: ценим прошлое, созидая будущее» посетили представители кооперативных организаций Иордании, Камеруна, Марокко, Египта, Танзании, Бразилии, Нигерии и Филиппин, Китая, ЮАР, Белоруссии, Ирана.</w:t>
            </w:r>
            <w:proofErr w:type="gramEnd"/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Состоялись официальные визиты делегации Чувашской Республики в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Кир-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гизию</w:t>
            </w:r>
            <w:proofErr w:type="spellEnd"/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, Узбекистан, Белоруссию, Индию и Китай.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«Рост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неэнергетического экспорта, % к предыдущему году» за 2024 год достигнут.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– 106,1%.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 – 133,9%.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Благодаря организации комплекса мер государственной поддержки экспорта внешнеторговый оборот Чувашской Республики показывает стабильный рост после спада 2022 года. 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 данным Приволжского таможенного управления внешнеторговый оборот Чувашской Республики за 2024 г. составил 767,8 млн. долл. США и увеличился на 4,6% по сравнению с прошлым годом (+33,9 млн. долл. США), в том числе экспорт составил 361,2 млн. долл. США и увеличился на 36,8% (+97,3 млн. долл. США), импорт – 406,6 млн. долл. США и сократился на 13,5% (-63,4 млн. долл. США).</w:t>
            </w:r>
            <w:proofErr w:type="gramEnd"/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«Экспорт товаров, млн. долларов США» за 2024 год достигнут.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– 260,0 млн. долларов США.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 – 361,2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товарной структуре экспорта Чувашской Республики преобладают машины, оборудование и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транспортные средства – 62,1%, продовольственные товары и сельскохозяйственное сырье – 15,9%, продукция химической промышленности, каучук – 14,4%. 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«Рост числа экспортеров, % к предыдущему году» за 2024 год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достигнут.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– 103,0%.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 – 103,0% 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 оценке количество экспортеров Чувашской Республики за 2024 год составило 634 ед. (за 2023 г. – 616 ед.).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 результатам экспортного аудита организаций и предприятий Чувашской Республики выявлены потребность экспортеров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мерах поддержки, а также барьеры, препятствующих выходу на внешние рынки. На основан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дита сформировано «Экспортное меню» для действующих и потенциальных экспортеров Чувашской Республики, содержащее полный комплекс мер поддержки.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целях формирования комплексной и эффективной системы поддержки экспорта в Чувашской Республике в рамках национального проекта «Международная кооперация и экспорт» реализуются региональные проекты «Системные меры развития международной кооперации и экспорта», «Промышленный экспорт» и «Экспорт продукции АПК».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поддержки экспортеров в Чувашской Республике в 2024 году проводилась системная работа по внедрению Стандарта по обеспечению благоприятных условий для развития экспортной деятельности в субъектах Российской Федерации (Регионального экспортного стандарта 2.0), утвержденного протоколом заседания проектного комитета по национальному проекту «Международная кооперация и экспорт» от 22.12.2021 № 15. Экспортный стандарт – это 15 инструментов по формированию эффективной и гибкой инфраструктуры поддержки экспорта, учитывающей специфику региона, в том числе за счет вовлечения органов власти и представителей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бизнес-сообщества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процесс развития экспортной деятельности.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республике функционирует инфраструктура поддержки экспорта – Центр экспортной поддержки субъектов МСП, которым обеспечен равный доступ субъектов МСП к государственным мерам поддержки экспорта. ЦЭП Чувашии в 2024 году оказана поддержка 512 экспортно-ориентированным субъектам МСП. Подтвержден вывод на экспорт благодаря услугам ЦЭП 35 субъектов МСП. Подтвержденный объем поддержанного экспорта субъектов МСП составил 12,8 млн. долл. США.</w:t>
            </w:r>
          </w:p>
          <w:p w:rsidR="00271211" w:rsidRPr="0029170C" w:rsidRDefault="00271211" w:rsidP="00271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Также в целях обеспечения благоприятных условий для развития экспортной деятельности в Чувашской Республике, продвижения товаров и услуг региональных предприятий на зарубежных рынках, увеличения объема экспорта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несырьевых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неэнергетических товаров в 2024 году разработана и утверждена распоряжением Кабинета Министров Чувашской Республики от 02.07.2024 № 652-р Стратегия обеспечения благоприятных условий для развития экспортной деятельности в Чувашской Республике до 2030 года.</w:t>
            </w:r>
            <w:proofErr w:type="gramEnd"/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Региональный проект "Системные меры развития международной кооперации и экспорта"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«Внедрение Регионального экспортного стандарта 2.0, штук»</w:t>
            </w:r>
            <w:r w:rsidRPr="00291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2024 год достигнут.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– 1 шт.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 – 1 шт.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рамках внедрения Регионального экспортного стандарта 2.0 в Чувашской Республике реализованы 15 инструментов: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1. Закрепление развития экспорта, в том числе экспорта услуг, в документах стратегического планирования субъекта РФ. В 2024 году разработана и утверждена распоряжением Кабинета Министров Чувашской Республики от 02.07.2024 № 652-р Стратегия обеспечения благоприятных условий для развития экспортной деятельности в Чувашской Республике до 2030 года;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2. Определение органа исполнительной власти субъекта РФ, ответственного за развитие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экспорта и экспорта услуг. Органом исполнительной власти Чувашской Республики, ответственным за развитие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экспорта,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Минэкономразвития Чувашии;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3. Формирование и обучение управленческой команды субъекта РФ. Состав управленческой команды по развитию экспорта в Чувашской Республике утвержден распоряжением Кабинета Министров Чувашской Республики от 17.03.2022 № 231-р. В 2024 году управленческая команда прошла обучение в дистанционном формате по онлайн-программе Школы экспорта РЭЦ;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4. Разработка и реализация Региональной программы развития экспорта субъекта РФ. В 2023 году Чувашская Республика в числе 15 регионов Российской Федерации прошла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образовательной программе АНО ДПО «Школа экспорта АО «Российский экспортный центр» на тему «Экспорт регионов 2.0». По итогам обучения состоялась защита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проекта Региональной программы развития экспорта Чувашской Республики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2030 года. Программа утверждена протоколом заседания Экспортного совета при Главе Чувашской Республики от 15.12.2024 № 4;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5. Создание Экспортного совета при высшем должностном лице субъекта РФ. Экспортный совет при Главе Чувашской Республике утвержден Указом Главы Чувашской Республики от 21.11.2022 № 144. Состав Экспортного совета утвержден распоряжением Главы Чувашской Республики от 22.11.2022 № 771-рг;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6. Создание и развитие Центра поддержки экспорта.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Чувашской Республике в целях увеличения объемов экспорта продукции предприятиями Чувашской Республики, оказания услуг по поддержке экспортной деятельности субъектам МСП с 2012 г. функционирует АНО «Центр координации поддержки экспортно-ориентированных субъектов малого и среднего предпринимательства в Чувашской Республики».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ЦЭП Чувашии ежегодно подтверждает ключевые показатели эффективности деятельности в соответствии с требованиями к центрам поддержки экспорта, утвержденными приказом Минэкономразвития России от 18.02.2021 № 77;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7. Обеспечение присутствия субъекта РФ на зарубежных рынках. Протокольным решением Экспортного совета при Главе Чувашской Республики  от 19.12.2022 № 1 утвержден план мероприятий по обеспечению международного присутствия Чувашской Республики на зарубежных рынках до 2025 года. В 2024 году ЦЭП Чувашии подписаны соглашения об осуществлении международных и внешнеэкономических связей с Белоруссией, Узбекистаном, Китаем, Азербайджаном;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8. Создание и развитие системы подготовки кадров в сфере внешнеэкономической деятельности на базе Высших учебных заведений субъекта РФ. План мероприятий по развитию системы подготовки кадров в сфере внешнеэкономической деятельности в Чувашской Республике на период до 2024 года утвержден проректором по учебной работе ФГБОУ ВО «ЧГУ им. И.Н. Ульянова» и согласован с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Минэкономразвития Чувашии. По итогам 2024 года 25 выпускников прошли обучение по программам подготовки и переподготовки кадров в сфере ВЭД, 23 выпускника прошли практику/стажировку в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РОИВ-координаторе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инфраструктуре поддержки экспорта, а также на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ориентированных предприятиях Чувашской Республики;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9. Формирование и анализ базы экспортеров и базы потенциальных экспортеров в субъекте РФ и проведение экспортного аудита. В Чувашской Республике сформирована база экспортеров товаров и услуг, которая ежегодно актуализируется. Проводится экспортный аудит – ведется работа по выявлению потенциальных экспортеров, определению их готовности к выходу на экспорт, выявлению потребностей в поддержке и барьеров для роста. База содержит наименования и контактные данные компаний, ИНН, ОКПД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. Количество экспортеров по итогам 2023 года составило 616 ед., рост числа экспортеров – 20,3% (в 2022 году – 512 ед.). Количество экспортеров за 9 месяцев 2024 г. составило 556 ед. 90% экспортеров республики представлены из числа субъектов МСП  (66% – микро предприятия, 20% – малые предприятия, 4% – средние предприятия). Оценочно по итогам 2024 года количество экспортеров составит на уровне 2023 года;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10. Организация обучения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ориентированных субъектов предпринимательства основам экспортной деятельности.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На образовательной площадке ЦЭП Чувашии проводятся экспортные семинары: 1) «Основы экспортной деятельности»; 2) «Маркетинг как часть экспортного проекта»; 3) «Эффективная деловая коммуникация для экспортеров»; 4) «Правовые аспекты экспорта»; 5) «Финансовые инструменты экспорта»; 6) «Документационное сопровождение экспорта»; 7) «Таможенное регулирование экспорта»; 8) «Логистика для экспортёров»; 9) «Возможности онлайн-экспорта»; 10) «Налоги в экспортной деятельности».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2024 году прошли обучение 35 субъектов МСП;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11. Организация комплекса мероприятий по расширению деловых связей субъектов предпринимательства, зарегистрированных в субъекте РФ, с потенциальными зарубежными контрагентами. На заседании Экспортного совета при Главе Чувашской Республики от 19.12.2022 № 1 утвержден План мероприятий по обеспечению присутствия Чувашской Республики на зарубежных рынках до 2025 года.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республику посетило 24 официальных международных делегаций из Шри-Ланки, Белоруссии, Китая, Узбекистана, Турции, Ирана, Индии, Азербайджана, в том числе 14 делегаций с участием дипломатов из различных стран (Шри-Ланка, Белоруссия, Узбекистан, Турция, Иран).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Кроме того, в сентябре 2024 г. Чувашскую Республику с целью участия в Международном форуме потребительской кооперации «Кооперация: ценим прошлое, созидая будущее» посетили представители кооперативных организаций Иордании, Камеруна, Марокко, Египта, Танзании, Бразилии, Нигерии и Филиппин, Китая, ЮАР, Белоруссии, Ирана.</w:t>
            </w:r>
            <w:proofErr w:type="gramEnd"/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Состоялись официальные визиты делегации Чувашской Республики в Киргизию, Узбекистан, Белоруссию, Индию и Китай.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2024 году с целью установления деловых контактов и расширения географии экспорта ЦЭП Чувашии организованы 2 международные бизнес-миссии в Азербайджан с 12-14.08.2024, в Узбекистан с 28-30.10.2024 и 1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реверсная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бизнес-миссия из Армении с 22-24.09.2024.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2024 году ЦЭП Чувашии оказал поддержку малым и средним предприятиям, которые приняли участие в </w:t>
            </w: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 выставках. Среди них: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* Международная выставка продуктов питания, напитков и сырья для их производства «ПРОДЭКСПО – 2024»;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* 17-я Международная выставка по энергетике, энергосбережению, атомной энергетике и альтернативным источникам энергии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Uzbekistan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2024»;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* 30-я Казахстанская международная строительная и интерьерная выставка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KazBuild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2024»;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* Международная осенняя выставка продуктов питания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WorldFood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Moskow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2024»;  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* Международная выставка нефтехимической промышленности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ICIFChina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2024»;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- 2-я Международная выставка «Детская и юношеская мода» «CJF – ДЕТСКАЯ МОДА – 2024. Осень»; 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- 29-я Международная выставка «Оборудование, технологии, сырье и ингредиенты для пищевой и перерабатывающей промышленности» «АГРОПРОДМАШ 2024»; 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Международная выставка-ярмарка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CantonFair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»; 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Международная выставка торговой строительной индустрии «Best5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Algeria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2024»; 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- 35-я Международная выставка «Мебель, фурнитура и обивочные материалы» «Мебель – 2024»;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Международная выставка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Algeria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Woodtech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2024»;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12. Развитие экспортной деятельности через каналы электронной торговли. ЦЭП Чувашии проводятся: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1) мероприятия, направленные на продвижение информации о преимуществах электронной торговли (круглые столы, конференции и т.д.);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2) мероприятия по распространению среди предпринимательского сообщества историй успеха экспортеров, вышедших на внешние рынки посредством электронной торговли через СМИ, социальные сети и через другие источники.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ЦЭП Чувашии: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1) выявлено 3 истории успеха экспортеров (ООО «ДФ-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Хоум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Гервент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РУС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Атфорс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»), вышедших на внешние рынки посредством электронной торговли.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2) для 2 отобранных по итогам обучения перспективных компаний обеспечены регистрация и продвижение на крупнейших целевых электронных площадках (ООО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Гервент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РУС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 - Alibaba.com, ООО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Атфорс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 - Alibaba.com);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№ 13. Реализация на территории субъекта РФ акселерационных программ и других комплексных инструментов развития экспорта. Участие в акселерационных программах предусматривает следующие форматы: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а) участие в акселерационной программе «</w:t>
            </w: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Экспортный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форсаж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разработанной Школой экспорта РЭЦ;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участия в отраслевых или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страновых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акселерационных программах на базе собственной инфраструктуры ЦЭП;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участие в комплексных акселерационных программах партнерских организаций.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рамках акселерационных программ субъекты МСП совместно с тренерами и наставниками разрабатывают индивидуальную «дорожную карту» по выходу на внешние рынки.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по вопросам</w:t>
            </w:r>
            <w:proofErr w:type="gram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экспортной деятельности и организацию экспертного сопровождения оплачивает ЦЭП Чувашии.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Чувашской Республике создана площадка для взаимодействия бизнеса в целях обмена опытом по ведению экспортной деятельности – Клуб экспортеров Чувашской Республики при ТПП Чувашии. Разработана программа наставничества Клуба экспортеров на 2022-2024 годы.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в рамках реализации акселерационной программы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GoGlobal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 прошли обучение 3 участника, в рамках программы профессиональной переподготовки «Экспортеры 2.0» - 1 участник;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14. Создание и развитие механизмов популяризации экспортной деятельности среди экономически активного населения и молодежи субъекта РФ. В Чувашии: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1) Создан специализированный раздел по экспорту на сайте ЦЭП Чувашии (https://ved21.ru/).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2) В основных социальных сетях созданы профили Чувашской Республики, посвященные развитию экспортной деятельности.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3) На ежегодной основе проводится региональный конкурс «Экспортер года».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определены следующие победители и призеры: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1. В номинации «Экспортер года в сфере промышленности» – ООО «ЖД Компоненты», директор Аверкиев С.В.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2. В номинации «Экспортер года в сфере агропромышленного комплекса» – ООО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Агрохмель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директор Семенов А.Б.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3. В номинации «Экспортер года в сфере услуг» – индивидуальный предприниматель Лялин В.Г.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4.В номинации «Экспортер года в сфере машиностроения» – ООО «ПП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Спецдеталь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директор  Сухарев Г.И.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В номинации «Трейдер года» – ООО «Смарт Трейд ЭМ ПИ 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генеральный директор Мустафин А.Р.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6. В номинации «Экспортер года в сфере готового продовольствия (высокие переделы)» – ООО «Спиртовой Завод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Ядринский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генеральный директор Егоров А.Н.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7. В номинации «Потенциальный экспортер года» – ООО «</w:t>
            </w:r>
            <w:proofErr w:type="spellStart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Стулер</w:t>
            </w:r>
            <w:proofErr w:type="spellEnd"/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», генеральный директор Пегасов М.Л.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 № 15. Создание и развитие механизмов продвижения продукции региональных компаний за рубежом.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Минэкономразвития Чувашии и ЦЭП Чувашии регулярно осуществляются встречи и деловые переговоры с субъектами МСП Чувашии, торговыми представительствами РФ и представительствами РЭЦ за рубежом. 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Чувашская Республика реализует множество программ и механизмов поддержки региональных компаний для продвижения за рубежом: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налажена активная работа центра поддержки экспорта – ЦЭП Чувашии;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меры поддержки оказывают различные ведомства и иные подведомственные организации Чувашской Республики;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реализуется государственная программа Чувашской Республики «Экономическое развитие Чувашской Республики»;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- реализуются региональные проекты Чувашской Республики «Системные меры развития международной кооперации и экспорта», «Промышленный экспорт», «Экспорт продукции АПК», направленные на реализацию национального проекта «Международная кооперация и экспорт».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Регулярно проводятся мероприятия, направленные на стимулирование экспортной деятельности региональных компаний, а также формирование эффективной инфраструктуры поддержки экспорта.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2024 году проведен социологический опрос среди экспортеров Чувашской Республики по оценке узнаваемости бренда «Сделано в Чувашии» на приоритетных зарубежных рынках.  Информация о 65 региональных экспортерах размещена в Республике Беларусь посредством СМИ за рубежом и сети «Интернет».</w:t>
            </w:r>
          </w:p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28" w:rsidRPr="0029170C" w:rsidTr="003C2C42">
        <w:tc>
          <w:tcPr>
            <w:tcW w:w="144" w:type="pct"/>
            <w:tcBorders>
              <w:lef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70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pct"/>
          </w:tcPr>
          <w:p w:rsidR="00D75428" w:rsidRPr="0029170C" w:rsidRDefault="00D75428" w:rsidP="00980B59">
            <w:pPr>
              <w:pStyle w:val="ConsPlusNormal"/>
              <w:jc w:val="both"/>
              <w:rPr>
                <w:sz w:val="20"/>
                <w:szCs w:val="20"/>
              </w:rPr>
            </w:pPr>
            <w:r w:rsidRPr="0029170C">
              <w:rPr>
                <w:sz w:val="20"/>
                <w:szCs w:val="20"/>
              </w:rPr>
              <w:t>Комплекс процессных мероприятий "Обеспечение реализации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57" w:type="pct"/>
            <w:gridSpan w:val="2"/>
          </w:tcPr>
          <w:p w:rsidR="00D75428" w:rsidRPr="0029170C" w:rsidRDefault="00D75428" w:rsidP="00980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3206" w:type="pct"/>
            <w:tcBorders>
              <w:right w:val="none" w:sz="4" w:space="0" w:color="000000"/>
            </w:tcBorders>
          </w:tcPr>
          <w:p w:rsidR="00D75428" w:rsidRPr="0029170C" w:rsidRDefault="00D75428" w:rsidP="00980B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C">
              <w:rPr>
                <w:rFonts w:ascii="Times New Roman" w:hAnsi="Times New Roman"/>
                <w:sz w:val="20"/>
                <w:szCs w:val="20"/>
              </w:rPr>
              <w:t>Осуществлены расходы на обеспечение деятельности аппарата Минэкономразвития Чувашии.</w:t>
            </w:r>
          </w:p>
        </w:tc>
      </w:tr>
    </w:tbl>
    <w:p w:rsidR="00932C7C" w:rsidRPr="008C3DE7" w:rsidRDefault="00D54039" w:rsidP="00980B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C3DE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</w:t>
      </w:r>
    </w:p>
    <w:p w:rsidR="00932C7C" w:rsidRPr="008C3DE7" w:rsidRDefault="00D54039" w:rsidP="00980B59">
      <w:pPr>
        <w:spacing w:after="0" w:line="240" w:lineRule="auto"/>
        <w:ind w:hanging="240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8C3DE7">
        <w:rPr>
          <w:rFonts w:ascii="Times New Roman" w:eastAsia="Times New Roman" w:hAnsi="Times New Roman"/>
          <w:b/>
          <w:i/>
          <w:caps/>
          <w:sz w:val="20"/>
          <w:szCs w:val="20"/>
          <w:vertAlign w:val="superscript"/>
          <w:lang w:eastAsia="ru-RU"/>
        </w:rPr>
        <w:t xml:space="preserve">   1</w:t>
      </w:r>
      <w:proofErr w:type="gramStart"/>
      <w:r w:rsidRPr="008C3DE7">
        <w:rPr>
          <w:rFonts w:ascii="Times New Roman" w:eastAsia="Times New Roman" w:hAnsi="Times New Roman"/>
          <w:b/>
          <w:i/>
          <w:caps/>
          <w:sz w:val="20"/>
          <w:szCs w:val="20"/>
          <w:vertAlign w:val="superscript"/>
          <w:lang w:eastAsia="ru-RU"/>
        </w:rPr>
        <w:t xml:space="preserve"> </w:t>
      </w:r>
      <w:r w:rsidRPr="008C3DE7">
        <w:rPr>
          <w:rFonts w:ascii="Times New Roman" w:eastAsia="Times New Roman" w:hAnsi="Times New Roman"/>
          <w:b/>
          <w:i/>
          <w:caps/>
          <w:sz w:val="20"/>
          <w:szCs w:val="20"/>
          <w:vertAlign w:val="superscript"/>
          <w:lang w:eastAsia="ru-RU"/>
        </w:rPr>
        <w:tab/>
      </w:r>
      <w:r w:rsidRPr="008C3DE7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У</w:t>
      </w:r>
      <w:proofErr w:type="gramEnd"/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казываются значения «выполнено», «не выполнено», «частично выполнено».</w:t>
      </w:r>
    </w:p>
    <w:p w:rsidR="00932C7C" w:rsidRPr="00980B59" w:rsidRDefault="00D54039" w:rsidP="003C51F5">
      <w:pPr>
        <w:spacing w:after="0" w:line="240" w:lineRule="auto"/>
        <w:ind w:hanging="24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8C3DE7">
        <w:rPr>
          <w:rFonts w:ascii="Times New Roman" w:eastAsia="Times New Roman" w:hAnsi="Times New Roman"/>
          <w:b/>
          <w:i/>
          <w:sz w:val="20"/>
          <w:szCs w:val="20"/>
          <w:vertAlign w:val="superscript"/>
          <w:lang w:eastAsia="ru-RU"/>
        </w:rPr>
        <w:t xml:space="preserve">   2</w:t>
      </w:r>
      <w:proofErr w:type="gramStart"/>
      <w:r w:rsidRPr="008C3DE7">
        <w:rPr>
          <w:rFonts w:ascii="Times New Roman" w:eastAsia="Times New Roman" w:hAnsi="Times New Roman"/>
          <w:b/>
          <w:i/>
          <w:sz w:val="20"/>
          <w:szCs w:val="20"/>
          <w:vertAlign w:val="superscript"/>
          <w:lang w:eastAsia="ru-RU"/>
        </w:rPr>
        <w:t xml:space="preserve"> </w:t>
      </w:r>
      <w:r w:rsidRPr="008C3DE7">
        <w:rPr>
          <w:rFonts w:ascii="Times New Roman" w:eastAsia="Times New Roman" w:hAnsi="Times New Roman"/>
          <w:b/>
          <w:i/>
          <w:sz w:val="20"/>
          <w:szCs w:val="20"/>
          <w:vertAlign w:val="superscript"/>
          <w:lang w:eastAsia="ru-RU"/>
        </w:rPr>
        <w:tab/>
      </w:r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proofErr w:type="gramEnd"/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редставляется краткая информация о проделанной работе и о достижении (</w:t>
      </w:r>
      <w:proofErr w:type="spellStart"/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недостижении</w:t>
      </w:r>
      <w:proofErr w:type="spellEnd"/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 установленных целевых показателей (индикаторов)</w:t>
      </w:r>
      <w:r w:rsidR="008F30EB"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,</w:t>
      </w:r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представляются пояснения причин </w:t>
      </w:r>
      <w:proofErr w:type="spellStart"/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недостижения</w:t>
      </w:r>
      <w:proofErr w:type="spellEnd"/>
      <w:r w:rsidRPr="008C3DE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</w:t>
      </w:r>
      <w:r w:rsidRPr="00980B5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sectPr w:rsidR="00932C7C" w:rsidRPr="00980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0E" w:rsidRDefault="0026130E">
      <w:pPr>
        <w:spacing w:after="0" w:line="240" w:lineRule="auto"/>
      </w:pPr>
      <w:r>
        <w:separator/>
      </w:r>
    </w:p>
  </w:endnote>
  <w:endnote w:type="continuationSeparator" w:id="0">
    <w:p w:rsidR="0026130E" w:rsidRDefault="0026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0E" w:rsidRDefault="0026130E">
      <w:pPr>
        <w:spacing w:after="0" w:line="240" w:lineRule="auto"/>
      </w:pPr>
      <w:r>
        <w:separator/>
      </w:r>
    </w:p>
  </w:footnote>
  <w:footnote w:type="continuationSeparator" w:id="0">
    <w:p w:rsidR="0026130E" w:rsidRDefault="0026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4B1"/>
    <w:multiLevelType w:val="hybridMultilevel"/>
    <w:tmpl w:val="5924268C"/>
    <w:lvl w:ilvl="0" w:tplc="322E5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86D"/>
    <w:multiLevelType w:val="hybridMultilevel"/>
    <w:tmpl w:val="A4D63024"/>
    <w:lvl w:ilvl="0" w:tplc="64EE8948">
      <w:start w:val="1"/>
      <w:numFmt w:val="decimal"/>
      <w:lvlText w:val="%1."/>
      <w:lvlJc w:val="left"/>
      <w:pPr>
        <w:ind w:left="709" w:hanging="360"/>
      </w:pPr>
    </w:lvl>
    <w:lvl w:ilvl="1" w:tplc="197ACEE0">
      <w:start w:val="1"/>
      <w:numFmt w:val="lowerLetter"/>
      <w:lvlText w:val="%2."/>
      <w:lvlJc w:val="left"/>
      <w:pPr>
        <w:ind w:left="1429" w:hanging="360"/>
      </w:pPr>
    </w:lvl>
    <w:lvl w:ilvl="2" w:tplc="0A7A6096">
      <w:start w:val="1"/>
      <w:numFmt w:val="lowerRoman"/>
      <w:lvlText w:val="%3."/>
      <w:lvlJc w:val="right"/>
      <w:pPr>
        <w:ind w:left="2149" w:hanging="180"/>
      </w:pPr>
    </w:lvl>
    <w:lvl w:ilvl="3" w:tplc="ED3EF412">
      <w:start w:val="1"/>
      <w:numFmt w:val="decimal"/>
      <w:lvlText w:val="%4."/>
      <w:lvlJc w:val="left"/>
      <w:pPr>
        <w:ind w:left="2869" w:hanging="360"/>
      </w:pPr>
    </w:lvl>
    <w:lvl w:ilvl="4" w:tplc="1C7639A2">
      <w:start w:val="1"/>
      <w:numFmt w:val="lowerLetter"/>
      <w:lvlText w:val="%5."/>
      <w:lvlJc w:val="left"/>
      <w:pPr>
        <w:ind w:left="3589" w:hanging="360"/>
      </w:pPr>
    </w:lvl>
    <w:lvl w:ilvl="5" w:tplc="4CD88CCC">
      <w:start w:val="1"/>
      <w:numFmt w:val="lowerRoman"/>
      <w:lvlText w:val="%6."/>
      <w:lvlJc w:val="right"/>
      <w:pPr>
        <w:ind w:left="4309" w:hanging="180"/>
      </w:pPr>
    </w:lvl>
    <w:lvl w:ilvl="6" w:tplc="06F67C48">
      <w:start w:val="1"/>
      <w:numFmt w:val="decimal"/>
      <w:lvlText w:val="%7."/>
      <w:lvlJc w:val="left"/>
      <w:pPr>
        <w:ind w:left="5029" w:hanging="360"/>
      </w:pPr>
    </w:lvl>
    <w:lvl w:ilvl="7" w:tplc="5F6AE470">
      <w:start w:val="1"/>
      <w:numFmt w:val="lowerLetter"/>
      <w:lvlText w:val="%8."/>
      <w:lvlJc w:val="left"/>
      <w:pPr>
        <w:ind w:left="5749" w:hanging="360"/>
      </w:pPr>
    </w:lvl>
    <w:lvl w:ilvl="8" w:tplc="4DF28EF0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D1A53D6"/>
    <w:multiLevelType w:val="hybridMultilevel"/>
    <w:tmpl w:val="1922AA30"/>
    <w:lvl w:ilvl="0" w:tplc="8BC80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CB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C0E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85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E78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68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EAD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A0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CE4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934FC3"/>
    <w:multiLevelType w:val="hybridMultilevel"/>
    <w:tmpl w:val="4836B14E"/>
    <w:lvl w:ilvl="0" w:tplc="7AA81C46">
      <w:start w:val="1"/>
      <w:numFmt w:val="decimal"/>
      <w:lvlText w:val="%1."/>
      <w:lvlJc w:val="left"/>
      <w:pPr>
        <w:ind w:left="1287" w:hanging="360"/>
      </w:pPr>
    </w:lvl>
    <w:lvl w:ilvl="1" w:tplc="F244DED0">
      <w:start w:val="1"/>
      <w:numFmt w:val="lowerLetter"/>
      <w:lvlText w:val="%2."/>
      <w:lvlJc w:val="left"/>
      <w:pPr>
        <w:ind w:left="2007" w:hanging="360"/>
      </w:pPr>
    </w:lvl>
    <w:lvl w:ilvl="2" w:tplc="6FBAAA48">
      <w:start w:val="1"/>
      <w:numFmt w:val="lowerRoman"/>
      <w:lvlText w:val="%3."/>
      <w:lvlJc w:val="right"/>
      <w:pPr>
        <w:ind w:left="2727" w:hanging="180"/>
      </w:pPr>
    </w:lvl>
    <w:lvl w:ilvl="3" w:tplc="2C18E39E">
      <w:start w:val="1"/>
      <w:numFmt w:val="decimal"/>
      <w:lvlText w:val="%4."/>
      <w:lvlJc w:val="left"/>
      <w:pPr>
        <w:ind w:left="3447" w:hanging="360"/>
      </w:pPr>
    </w:lvl>
    <w:lvl w:ilvl="4" w:tplc="D6E23288">
      <w:start w:val="1"/>
      <w:numFmt w:val="lowerLetter"/>
      <w:lvlText w:val="%5."/>
      <w:lvlJc w:val="left"/>
      <w:pPr>
        <w:ind w:left="4167" w:hanging="360"/>
      </w:pPr>
    </w:lvl>
    <w:lvl w:ilvl="5" w:tplc="D4A426B4">
      <w:start w:val="1"/>
      <w:numFmt w:val="lowerRoman"/>
      <w:lvlText w:val="%6."/>
      <w:lvlJc w:val="right"/>
      <w:pPr>
        <w:ind w:left="4887" w:hanging="180"/>
      </w:pPr>
    </w:lvl>
    <w:lvl w:ilvl="6" w:tplc="2F2E4CC4">
      <w:start w:val="1"/>
      <w:numFmt w:val="decimal"/>
      <w:lvlText w:val="%7."/>
      <w:lvlJc w:val="left"/>
      <w:pPr>
        <w:ind w:left="5607" w:hanging="360"/>
      </w:pPr>
    </w:lvl>
    <w:lvl w:ilvl="7" w:tplc="4B1AA856">
      <w:start w:val="1"/>
      <w:numFmt w:val="lowerLetter"/>
      <w:lvlText w:val="%8."/>
      <w:lvlJc w:val="left"/>
      <w:pPr>
        <w:ind w:left="6327" w:hanging="360"/>
      </w:pPr>
    </w:lvl>
    <w:lvl w:ilvl="8" w:tplc="77C08810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AD5B0F"/>
    <w:multiLevelType w:val="hybridMultilevel"/>
    <w:tmpl w:val="A59E48A0"/>
    <w:lvl w:ilvl="0" w:tplc="95D21EA0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6E62484A">
      <w:start w:val="1"/>
      <w:numFmt w:val="lowerLetter"/>
      <w:lvlText w:val="%2."/>
      <w:lvlJc w:val="left"/>
      <w:pPr>
        <w:ind w:left="1429" w:hanging="360"/>
      </w:pPr>
    </w:lvl>
    <w:lvl w:ilvl="2" w:tplc="CA468F24">
      <w:start w:val="1"/>
      <w:numFmt w:val="lowerRoman"/>
      <w:lvlText w:val="%3."/>
      <w:lvlJc w:val="right"/>
      <w:pPr>
        <w:ind w:left="2149" w:hanging="180"/>
      </w:pPr>
    </w:lvl>
    <w:lvl w:ilvl="3" w:tplc="F2C40618">
      <w:start w:val="1"/>
      <w:numFmt w:val="decimal"/>
      <w:lvlText w:val="%4."/>
      <w:lvlJc w:val="left"/>
      <w:pPr>
        <w:ind w:left="2869" w:hanging="360"/>
      </w:pPr>
    </w:lvl>
    <w:lvl w:ilvl="4" w:tplc="113A3EE4">
      <w:start w:val="1"/>
      <w:numFmt w:val="lowerLetter"/>
      <w:lvlText w:val="%5."/>
      <w:lvlJc w:val="left"/>
      <w:pPr>
        <w:ind w:left="3589" w:hanging="360"/>
      </w:pPr>
    </w:lvl>
    <w:lvl w:ilvl="5" w:tplc="284C50E0">
      <w:start w:val="1"/>
      <w:numFmt w:val="lowerRoman"/>
      <w:lvlText w:val="%6."/>
      <w:lvlJc w:val="right"/>
      <w:pPr>
        <w:ind w:left="4309" w:hanging="180"/>
      </w:pPr>
    </w:lvl>
    <w:lvl w:ilvl="6" w:tplc="0A78FF60">
      <w:start w:val="1"/>
      <w:numFmt w:val="decimal"/>
      <w:lvlText w:val="%7."/>
      <w:lvlJc w:val="left"/>
      <w:pPr>
        <w:ind w:left="5029" w:hanging="360"/>
      </w:pPr>
    </w:lvl>
    <w:lvl w:ilvl="7" w:tplc="CB867F42">
      <w:start w:val="1"/>
      <w:numFmt w:val="lowerLetter"/>
      <w:lvlText w:val="%8."/>
      <w:lvlJc w:val="left"/>
      <w:pPr>
        <w:ind w:left="5749" w:hanging="360"/>
      </w:pPr>
    </w:lvl>
    <w:lvl w:ilvl="8" w:tplc="6ABC0E26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B4C7AF3"/>
    <w:multiLevelType w:val="hybridMultilevel"/>
    <w:tmpl w:val="61A697C4"/>
    <w:lvl w:ilvl="0" w:tplc="AAAC1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723"/>
    <w:multiLevelType w:val="hybridMultilevel"/>
    <w:tmpl w:val="18D4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D3960"/>
    <w:multiLevelType w:val="hybridMultilevel"/>
    <w:tmpl w:val="9592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7C"/>
    <w:rsid w:val="000016DC"/>
    <w:rsid w:val="0000327C"/>
    <w:rsid w:val="00004081"/>
    <w:rsid w:val="00004ACE"/>
    <w:rsid w:val="00006077"/>
    <w:rsid w:val="0000769D"/>
    <w:rsid w:val="00007A81"/>
    <w:rsid w:val="000122AF"/>
    <w:rsid w:val="000200BD"/>
    <w:rsid w:val="0002165C"/>
    <w:rsid w:val="00022D5D"/>
    <w:rsid w:val="00023148"/>
    <w:rsid w:val="000251A4"/>
    <w:rsid w:val="000278C2"/>
    <w:rsid w:val="000348C5"/>
    <w:rsid w:val="00040866"/>
    <w:rsid w:val="0004711E"/>
    <w:rsid w:val="000510FF"/>
    <w:rsid w:val="000529ED"/>
    <w:rsid w:val="00054AA5"/>
    <w:rsid w:val="000574E6"/>
    <w:rsid w:val="00060D9B"/>
    <w:rsid w:val="00062563"/>
    <w:rsid w:val="00062DE4"/>
    <w:rsid w:val="00066F63"/>
    <w:rsid w:val="00074699"/>
    <w:rsid w:val="00074736"/>
    <w:rsid w:val="000864E3"/>
    <w:rsid w:val="000870E3"/>
    <w:rsid w:val="00087DB8"/>
    <w:rsid w:val="00090F67"/>
    <w:rsid w:val="00092E05"/>
    <w:rsid w:val="0009497F"/>
    <w:rsid w:val="00095A11"/>
    <w:rsid w:val="00097048"/>
    <w:rsid w:val="00097C9A"/>
    <w:rsid w:val="000A5454"/>
    <w:rsid w:val="000A7B3B"/>
    <w:rsid w:val="000B06F6"/>
    <w:rsid w:val="000B1733"/>
    <w:rsid w:val="000B747F"/>
    <w:rsid w:val="000B7574"/>
    <w:rsid w:val="000C0732"/>
    <w:rsid w:val="000C08A5"/>
    <w:rsid w:val="000C2B62"/>
    <w:rsid w:val="000C36F2"/>
    <w:rsid w:val="000C3A6F"/>
    <w:rsid w:val="000C56F8"/>
    <w:rsid w:val="000C77CD"/>
    <w:rsid w:val="000D0214"/>
    <w:rsid w:val="000D1925"/>
    <w:rsid w:val="000D1B82"/>
    <w:rsid w:val="000E1523"/>
    <w:rsid w:val="000E3653"/>
    <w:rsid w:val="000E3E46"/>
    <w:rsid w:val="000E4412"/>
    <w:rsid w:val="000E724B"/>
    <w:rsid w:val="000F042F"/>
    <w:rsid w:val="000F0EFE"/>
    <w:rsid w:val="000F212C"/>
    <w:rsid w:val="000F3E07"/>
    <w:rsid w:val="000F66D3"/>
    <w:rsid w:val="000F6D19"/>
    <w:rsid w:val="001012A5"/>
    <w:rsid w:val="00107C46"/>
    <w:rsid w:val="001118E4"/>
    <w:rsid w:val="001121F8"/>
    <w:rsid w:val="00112255"/>
    <w:rsid w:val="00125C4E"/>
    <w:rsid w:val="00132666"/>
    <w:rsid w:val="00133465"/>
    <w:rsid w:val="00134019"/>
    <w:rsid w:val="00141DDE"/>
    <w:rsid w:val="00142AFC"/>
    <w:rsid w:val="00151668"/>
    <w:rsid w:val="00151996"/>
    <w:rsid w:val="00152B9F"/>
    <w:rsid w:val="001540AB"/>
    <w:rsid w:val="00155D74"/>
    <w:rsid w:val="00162DD6"/>
    <w:rsid w:val="001706F6"/>
    <w:rsid w:val="001720E4"/>
    <w:rsid w:val="0017221B"/>
    <w:rsid w:val="001732A5"/>
    <w:rsid w:val="001762A2"/>
    <w:rsid w:val="00184C6C"/>
    <w:rsid w:val="00184C88"/>
    <w:rsid w:val="00187634"/>
    <w:rsid w:val="00193D03"/>
    <w:rsid w:val="00194FF2"/>
    <w:rsid w:val="001973D6"/>
    <w:rsid w:val="001A624F"/>
    <w:rsid w:val="001B6188"/>
    <w:rsid w:val="001B61CF"/>
    <w:rsid w:val="001C1BA3"/>
    <w:rsid w:val="001C207B"/>
    <w:rsid w:val="001C5216"/>
    <w:rsid w:val="001C688A"/>
    <w:rsid w:val="001D387B"/>
    <w:rsid w:val="001E00D0"/>
    <w:rsid w:val="001E1BE1"/>
    <w:rsid w:val="001E32BF"/>
    <w:rsid w:val="001E4382"/>
    <w:rsid w:val="001E7541"/>
    <w:rsid w:val="001E7F78"/>
    <w:rsid w:val="001F21CE"/>
    <w:rsid w:val="001F441E"/>
    <w:rsid w:val="001F45FF"/>
    <w:rsid w:val="00200D9A"/>
    <w:rsid w:val="00203B43"/>
    <w:rsid w:val="00207F49"/>
    <w:rsid w:val="0021043D"/>
    <w:rsid w:val="002139E1"/>
    <w:rsid w:val="002148E9"/>
    <w:rsid w:val="00215EAB"/>
    <w:rsid w:val="002161EE"/>
    <w:rsid w:val="002200D8"/>
    <w:rsid w:val="002207C8"/>
    <w:rsid w:val="0022093B"/>
    <w:rsid w:val="00226BBF"/>
    <w:rsid w:val="00230723"/>
    <w:rsid w:val="002316AF"/>
    <w:rsid w:val="00231C1B"/>
    <w:rsid w:val="002332AA"/>
    <w:rsid w:val="002344FF"/>
    <w:rsid w:val="00234A17"/>
    <w:rsid w:val="00236367"/>
    <w:rsid w:val="00236BAA"/>
    <w:rsid w:val="00237842"/>
    <w:rsid w:val="00240D9D"/>
    <w:rsid w:val="00243C81"/>
    <w:rsid w:val="00246DFA"/>
    <w:rsid w:val="00250F12"/>
    <w:rsid w:val="002519CC"/>
    <w:rsid w:val="0025247E"/>
    <w:rsid w:val="00260716"/>
    <w:rsid w:val="00260CD7"/>
    <w:rsid w:val="0026130E"/>
    <w:rsid w:val="00266D70"/>
    <w:rsid w:val="00271211"/>
    <w:rsid w:val="00272BE8"/>
    <w:rsid w:val="002735E0"/>
    <w:rsid w:val="00276939"/>
    <w:rsid w:val="00280229"/>
    <w:rsid w:val="00283354"/>
    <w:rsid w:val="0028375A"/>
    <w:rsid w:val="00287C7D"/>
    <w:rsid w:val="0029170C"/>
    <w:rsid w:val="002932C3"/>
    <w:rsid w:val="0029366B"/>
    <w:rsid w:val="0029438F"/>
    <w:rsid w:val="00295387"/>
    <w:rsid w:val="002961FB"/>
    <w:rsid w:val="002A1296"/>
    <w:rsid w:val="002A3E57"/>
    <w:rsid w:val="002A6503"/>
    <w:rsid w:val="002A70AE"/>
    <w:rsid w:val="002A7544"/>
    <w:rsid w:val="002B1DA7"/>
    <w:rsid w:val="002B27EF"/>
    <w:rsid w:val="002C75DC"/>
    <w:rsid w:val="002D4845"/>
    <w:rsid w:val="002D5564"/>
    <w:rsid w:val="002D7779"/>
    <w:rsid w:val="002E05CA"/>
    <w:rsid w:val="002F3AFB"/>
    <w:rsid w:val="002F4EA8"/>
    <w:rsid w:val="002F7973"/>
    <w:rsid w:val="00300FAF"/>
    <w:rsid w:val="00301DF2"/>
    <w:rsid w:val="0030388A"/>
    <w:rsid w:val="003055DA"/>
    <w:rsid w:val="003056A7"/>
    <w:rsid w:val="003057C2"/>
    <w:rsid w:val="003062DE"/>
    <w:rsid w:val="003076B3"/>
    <w:rsid w:val="00311638"/>
    <w:rsid w:val="00312F27"/>
    <w:rsid w:val="00314C55"/>
    <w:rsid w:val="003234D7"/>
    <w:rsid w:val="003239A1"/>
    <w:rsid w:val="00325389"/>
    <w:rsid w:val="003311EE"/>
    <w:rsid w:val="00333CE3"/>
    <w:rsid w:val="00337E32"/>
    <w:rsid w:val="00342B37"/>
    <w:rsid w:val="00344814"/>
    <w:rsid w:val="003474B8"/>
    <w:rsid w:val="00352D8C"/>
    <w:rsid w:val="00353A73"/>
    <w:rsid w:val="00356F60"/>
    <w:rsid w:val="00356F63"/>
    <w:rsid w:val="00363A71"/>
    <w:rsid w:val="00370BF1"/>
    <w:rsid w:val="00375F0B"/>
    <w:rsid w:val="00377D87"/>
    <w:rsid w:val="00385A5E"/>
    <w:rsid w:val="003902E1"/>
    <w:rsid w:val="003922C9"/>
    <w:rsid w:val="00393BDD"/>
    <w:rsid w:val="003A1F2B"/>
    <w:rsid w:val="003A73F8"/>
    <w:rsid w:val="003B236E"/>
    <w:rsid w:val="003B3C4A"/>
    <w:rsid w:val="003B40EF"/>
    <w:rsid w:val="003B4829"/>
    <w:rsid w:val="003B488E"/>
    <w:rsid w:val="003B6F0F"/>
    <w:rsid w:val="003C0210"/>
    <w:rsid w:val="003C2C42"/>
    <w:rsid w:val="003C3A5B"/>
    <w:rsid w:val="003C51F5"/>
    <w:rsid w:val="003C5638"/>
    <w:rsid w:val="003C69FD"/>
    <w:rsid w:val="003C6FF1"/>
    <w:rsid w:val="003E5310"/>
    <w:rsid w:val="003F0A1A"/>
    <w:rsid w:val="003F4D04"/>
    <w:rsid w:val="004012C1"/>
    <w:rsid w:val="0040249E"/>
    <w:rsid w:val="00402BA1"/>
    <w:rsid w:val="00410FBF"/>
    <w:rsid w:val="00416611"/>
    <w:rsid w:val="00421BB9"/>
    <w:rsid w:val="004236BC"/>
    <w:rsid w:val="0042488B"/>
    <w:rsid w:val="0043277A"/>
    <w:rsid w:val="00435F7A"/>
    <w:rsid w:val="00442BD5"/>
    <w:rsid w:val="00444120"/>
    <w:rsid w:val="00450579"/>
    <w:rsid w:val="00450991"/>
    <w:rsid w:val="00451652"/>
    <w:rsid w:val="00451850"/>
    <w:rsid w:val="004549EE"/>
    <w:rsid w:val="00455BA3"/>
    <w:rsid w:val="00455DE9"/>
    <w:rsid w:val="00455E4F"/>
    <w:rsid w:val="00463877"/>
    <w:rsid w:val="00466245"/>
    <w:rsid w:val="00467598"/>
    <w:rsid w:val="0047156C"/>
    <w:rsid w:val="00473103"/>
    <w:rsid w:val="00474DD4"/>
    <w:rsid w:val="004751E6"/>
    <w:rsid w:val="004758C3"/>
    <w:rsid w:val="00481F5F"/>
    <w:rsid w:val="00482FC6"/>
    <w:rsid w:val="004865A9"/>
    <w:rsid w:val="00490BEC"/>
    <w:rsid w:val="00490D3C"/>
    <w:rsid w:val="00495FD5"/>
    <w:rsid w:val="004964EC"/>
    <w:rsid w:val="0049691F"/>
    <w:rsid w:val="00496DD5"/>
    <w:rsid w:val="004A2F4B"/>
    <w:rsid w:val="004A309E"/>
    <w:rsid w:val="004A6BE5"/>
    <w:rsid w:val="004B1300"/>
    <w:rsid w:val="004B1A86"/>
    <w:rsid w:val="004B23E4"/>
    <w:rsid w:val="004B3ABD"/>
    <w:rsid w:val="004C0167"/>
    <w:rsid w:val="004C1283"/>
    <w:rsid w:val="004C62C6"/>
    <w:rsid w:val="004D2A36"/>
    <w:rsid w:val="004D3539"/>
    <w:rsid w:val="004D52E2"/>
    <w:rsid w:val="004D727E"/>
    <w:rsid w:val="004E12C2"/>
    <w:rsid w:val="004E4709"/>
    <w:rsid w:val="004E673B"/>
    <w:rsid w:val="004E7F21"/>
    <w:rsid w:val="004F2E92"/>
    <w:rsid w:val="004F5E50"/>
    <w:rsid w:val="004F77BD"/>
    <w:rsid w:val="00501A15"/>
    <w:rsid w:val="00511143"/>
    <w:rsid w:val="00514D3E"/>
    <w:rsid w:val="00516512"/>
    <w:rsid w:val="005214C2"/>
    <w:rsid w:val="00524671"/>
    <w:rsid w:val="005249CF"/>
    <w:rsid w:val="005271E9"/>
    <w:rsid w:val="00527D11"/>
    <w:rsid w:val="00531ACC"/>
    <w:rsid w:val="00533FCD"/>
    <w:rsid w:val="005342E3"/>
    <w:rsid w:val="00536BC2"/>
    <w:rsid w:val="00542169"/>
    <w:rsid w:val="005460BB"/>
    <w:rsid w:val="00547B82"/>
    <w:rsid w:val="00552C9D"/>
    <w:rsid w:val="00556A81"/>
    <w:rsid w:val="00560BD2"/>
    <w:rsid w:val="0056160E"/>
    <w:rsid w:val="005652CF"/>
    <w:rsid w:val="0056695E"/>
    <w:rsid w:val="005679BF"/>
    <w:rsid w:val="005726D8"/>
    <w:rsid w:val="00573E81"/>
    <w:rsid w:val="00574DD3"/>
    <w:rsid w:val="00575C89"/>
    <w:rsid w:val="00576356"/>
    <w:rsid w:val="00576A2A"/>
    <w:rsid w:val="00576E2D"/>
    <w:rsid w:val="00580665"/>
    <w:rsid w:val="00583CAD"/>
    <w:rsid w:val="00586B68"/>
    <w:rsid w:val="00593FB8"/>
    <w:rsid w:val="0059410D"/>
    <w:rsid w:val="005A2C69"/>
    <w:rsid w:val="005A3F87"/>
    <w:rsid w:val="005B1052"/>
    <w:rsid w:val="005B1A5F"/>
    <w:rsid w:val="005B23C4"/>
    <w:rsid w:val="005B7D98"/>
    <w:rsid w:val="005C01C3"/>
    <w:rsid w:val="005D03F8"/>
    <w:rsid w:val="005D2297"/>
    <w:rsid w:val="005D6F41"/>
    <w:rsid w:val="005E0406"/>
    <w:rsid w:val="005E14AD"/>
    <w:rsid w:val="005E265A"/>
    <w:rsid w:val="005E2F53"/>
    <w:rsid w:val="005E410C"/>
    <w:rsid w:val="005E43E9"/>
    <w:rsid w:val="005E48BB"/>
    <w:rsid w:val="005E5F52"/>
    <w:rsid w:val="005E62FC"/>
    <w:rsid w:val="005F0349"/>
    <w:rsid w:val="005F07E2"/>
    <w:rsid w:val="005F2E0D"/>
    <w:rsid w:val="005F714D"/>
    <w:rsid w:val="005F7EFA"/>
    <w:rsid w:val="0060142D"/>
    <w:rsid w:val="00610687"/>
    <w:rsid w:val="00612540"/>
    <w:rsid w:val="00612966"/>
    <w:rsid w:val="00613839"/>
    <w:rsid w:val="006151C6"/>
    <w:rsid w:val="00616533"/>
    <w:rsid w:val="00616D83"/>
    <w:rsid w:val="00620E23"/>
    <w:rsid w:val="00621CAE"/>
    <w:rsid w:val="006238CB"/>
    <w:rsid w:val="00624AB9"/>
    <w:rsid w:val="00624D34"/>
    <w:rsid w:val="00633127"/>
    <w:rsid w:val="0063312A"/>
    <w:rsid w:val="0064151B"/>
    <w:rsid w:val="00642D8A"/>
    <w:rsid w:val="00647246"/>
    <w:rsid w:val="006475D7"/>
    <w:rsid w:val="0065223B"/>
    <w:rsid w:val="006528D7"/>
    <w:rsid w:val="00656E22"/>
    <w:rsid w:val="00662589"/>
    <w:rsid w:val="00671474"/>
    <w:rsid w:val="006737D8"/>
    <w:rsid w:val="00673CAA"/>
    <w:rsid w:val="006752C4"/>
    <w:rsid w:val="006761AB"/>
    <w:rsid w:val="0068012D"/>
    <w:rsid w:val="00680285"/>
    <w:rsid w:val="006816F4"/>
    <w:rsid w:val="00685042"/>
    <w:rsid w:val="00686E4C"/>
    <w:rsid w:val="00690C76"/>
    <w:rsid w:val="006A1D47"/>
    <w:rsid w:val="006A2871"/>
    <w:rsid w:val="006A3133"/>
    <w:rsid w:val="006A5745"/>
    <w:rsid w:val="006A7DCF"/>
    <w:rsid w:val="006B10B0"/>
    <w:rsid w:val="006B5EA1"/>
    <w:rsid w:val="006C055B"/>
    <w:rsid w:val="006C1E91"/>
    <w:rsid w:val="006C65CB"/>
    <w:rsid w:val="006D1E10"/>
    <w:rsid w:val="006D6F1E"/>
    <w:rsid w:val="006F0205"/>
    <w:rsid w:val="006F3854"/>
    <w:rsid w:val="006F3DC1"/>
    <w:rsid w:val="006F57B4"/>
    <w:rsid w:val="006F7A67"/>
    <w:rsid w:val="00700A25"/>
    <w:rsid w:val="00701AF3"/>
    <w:rsid w:val="0070210A"/>
    <w:rsid w:val="00706CA1"/>
    <w:rsid w:val="007118E6"/>
    <w:rsid w:val="00711A22"/>
    <w:rsid w:val="007133EA"/>
    <w:rsid w:val="0071616C"/>
    <w:rsid w:val="00716EB5"/>
    <w:rsid w:val="00722737"/>
    <w:rsid w:val="00723554"/>
    <w:rsid w:val="00726067"/>
    <w:rsid w:val="00726DFB"/>
    <w:rsid w:val="007276F9"/>
    <w:rsid w:val="00734544"/>
    <w:rsid w:val="0073538C"/>
    <w:rsid w:val="00736490"/>
    <w:rsid w:val="007368FD"/>
    <w:rsid w:val="007375BF"/>
    <w:rsid w:val="00740735"/>
    <w:rsid w:val="007412B4"/>
    <w:rsid w:val="00741E60"/>
    <w:rsid w:val="00742453"/>
    <w:rsid w:val="00743799"/>
    <w:rsid w:val="00747AFF"/>
    <w:rsid w:val="00747D65"/>
    <w:rsid w:val="00753A81"/>
    <w:rsid w:val="00753F6B"/>
    <w:rsid w:val="00760FC2"/>
    <w:rsid w:val="00772385"/>
    <w:rsid w:val="00772E25"/>
    <w:rsid w:val="00774DCB"/>
    <w:rsid w:val="00775067"/>
    <w:rsid w:val="007759CD"/>
    <w:rsid w:val="00777131"/>
    <w:rsid w:val="007808CB"/>
    <w:rsid w:val="00782C15"/>
    <w:rsid w:val="00782C44"/>
    <w:rsid w:val="00784F5C"/>
    <w:rsid w:val="00790801"/>
    <w:rsid w:val="00791B9E"/>
    <w:rsid w:val="00791BBC"/>
    <w:rsid w:val="00794C2F"/>
    <w:rsid w:val="007A4682"/>
    <w:rsid w:val="007A6D21"/>
    <w:rsid w:val="007B00AB"/>
    <w:rsid w:val="007B465A"/>
    <w:rsid w:val="007C11A7"/>
    <w:rsid w:val="007C2359"/>
    <w:rsid w:val="007C2853"/>
    <w:rsid w:val="007C4FC8"/>
    <w:rsid w:val="007C52E3"/>
    <w:rsid w:val="007D09C5"/>
    <w:rsid w:val="007D15BE"/>
    <w:rsid w:val="007D1BD0"/>
    <w:rsid w:val="007D1EA1"/>
    <w:rsid w:val="007D4F98"/>
    <w:rsid w:val="007D6AB1"/>
    <w:rsid w:val="007E42DA"/>
    <w:rsid w:val="007E5428"/>
    <w:rsid w:val="007E74C5"/>
    <w:rsid w:val="007F3AA8"/>
    <w:rsid w:val="00800CB9"/>
    <w:rsid w:val="0080331F"/>
    <w:rsid w:val="0080374F"/>
    <w:rsid w:val="008041A4"/>
    <w:rsid w:val="00804612"/>
    <w:rsid w:val="0080491D"/>
    <w:rsid w:val="00805B9E"/>
    <w:rsid w:val="00806637"/>
    <w:rsid w:val="008116AC"/>
    <w:rsid w:val="00813373"/>
    <w:rsid w:val="00813F85"/>
    <w:rsid w:val="0082152D"/>
    <w:rsid w:val="0082167C"/>
    <w:rsid w:val="008236C3"/>
    <w:rsid w:val="00823D93"/>
    <w:rsid w:val="0083375C"/>
    <w:rsid w:val="00834290"/>
    <w:rsid w:val="00836592"/>
    <w:rsid w:val="00841FC2"/>
    <w:rsid w:val="008425F6"/>
    <w:rsid w:val="0085276E"/>
    <w:rsid w:val="008540C0"/>
    <w:rsid w:val="00854B74"/>
    <w:rsid w:val="008551CE"/>
    <w:rsid w:val="008604A0"/>
    <w:rsid w:val="00860DB7"/>
    <w:rsid w:val="00861815"/>
    <w:rsid w:val="00862B59"/>
    <w:rsid w:val="00865848"/>
    <w:rsid w:val="00870F59"/>
    <w:rsid w:val="00871501"/>
    <w:rsid w:val="00872D4B"/>
    <w:rsid w:val="00875401"/>
    <w:rsid w:val="00895672"/>
    <w:rsid w:val="008A1361"/>
    <w:rsid w:val="008A6589"/>
    <w:rsid w:val="008B42A1"/>
    <w:rsid w:val="008B59B7"/>
    <w:rsid w:val="008B619D"/>
    <w:rsid w:val="008B649B"/>
    <w:rsid w:val="008B7B8F"/>
    <w:rsid w:val="008C26A9"/>
    <w:rsid w:val="008C34C9"/>
    <w:rsid w:val="008C3DE7"/>
    <w:rsid w:val="008C4130"/>
    <w:rsid w:val="008C6B17"/>
    <w:rsid w:val="008D12A4"/>
    <w:rsid w:val="008D61F4"/>
    <w:rsid w:val="008D706A"/>
    <w:rsid w:val="008E0882"/>
    <w:rsid w:val="008E0EF4"/>
    <w:rsid w:val="008F0118"/>
    <w:rsid w:val="008F0B46"/>
    <w:rsid w:val="008F1E58"/>
    <w:rsid w:val="008F2F22"/>
    <w:rsid w:val="008F30EB"/>
    <w:rsid w:val="008F495F"/>
    <w:rsid w:val="008F72C8"/>
    <w:rsid w:val="00900AAA"/>
    <w:rsid w:val="00901CD8"/>
    <w:rsid w:val="00902360"/>
    <w:rsid w:val="009030DE"/>
    <w:rsid w:val="00903AC0"/>
    <w:rsid w:val="0090537D"/>
    <w:rsid w:val="00906156"/>
    <w:rsid w:val="0091315F"/>
    <w:rsid w:val="0091643E"/>
    <w:rsid w:val="009274F1"/>
    <w:rsid w:val="009318B3"/>
    <w:rsid w:val="00932C7C"/>
    <w:rsid w:val="0094174D"/>
    <w:rsid w:val="009432BB"/>
    <w:rsid w:val="009448B6"/>
    <w:rsid w:val="009461E3"/>
    <w:rsid w:val="009505F2"/>
    <w:rsid w:val="00951B93"/>
    <w:rsid w:val="009552D4"/>
    <w:rsid w:val="00956825"/>
    <w:rsid w:val="00957048"/>
    <w:rsid w:val="0095745D"/>
    <w:rsid w:val="009626F4"/>
    <w:rsid w:val="0096630F"/>
    <w:rsid w:val="00972693"/>
    <w:rsid w:val="00980B59"/>
    <w:rsid w:val="00984A86"/>
    <w:rsid w:val="009876B4"/>
    <w:rsid w:val="009908E7"/>
    <w:rsid w:val="009917D1"/>
    <w:rsid w:val="00992271"/>
    <w:rsid w:val="00992AAF"/>
    <w:rsid w:val="00992C45"/>
    <w:rsid w:val="00996407"/>
    <w:rsid w:val="00997E73"/>
    <w:rsid w:val="009A120F"/>
    <w:rsid w:val="009A4A3F"/>
    <w:rsid w:val="009A55ED"/>
    <w:rsid w:val="009A662A"/>
    <w:rsid w:val="009B17BD"/>
    <w:rsid w:val="009B495A"/>
    <w:rsid w:val="009B5AE0"/>
    <w:rsid w:val="009B5F76"/>
    <w:rsid w:val="009B62C5"/>
    <w:rsid w:val="009B7E2C"/>
    <w:rsid w:val="009C0897"/>
    <w:rsid w:val="009C0A37"/>
    <w:rsid w:val="009C21D8"/>
    <w:rsid w:val="009C5E70"/>
    <w:rsid w:val="009C6BB9"/>
    <w:rsid w:val="009C7F2A"/>
    <w:rsid w:val="009D4D58"/>
    <w:rsid w:val="009E053F"/>
    <w:rsid w:val="009E2230"/>
    <w:rsid w:val="009E61CA"/>
    <w:rsid w:val="009E6C27"/>
    <w:rsid w:val="009F13C9"/>
    <w:rsid w:val="009F4475"/>
    <w:rsid w:val="009F5035"/>
    <w:rsid w:val="00A00765"/>
    <w:rsid w:val="00A04ED3"/>
    <w:rsid w:val="00A05FB7"/>
    <w:rsid w:val="00A119B0"/>
    <w:rsid w:val="00A141AA"/>
    <w:rsid w:val="00A15A47"/>
    <w:rsid w:val="00A16D36"/>
    <w:rsid w:val="00A2301A"/>
    <w:rsid w:val="00A247A7"/>
    <w:rsid w:val="00A255D1"/>
    <w:rsid w:val="00A326A9"/>
    <w:rsid w:val="00A33660"/>
    <w:rsid w:val="00A35D3E"/>
    <w:rsid w:val="00A37E28"/>
    <w:rsid w:val="00A40564"/>
    <w:rsid w:val="00A40767"/>
    <w:rsid w:val="00A45F0B"/>
    <w:rsid w:val="00A549E0"/>
    <w:rsid w:val="00A57987"/>
    <w:rsid w:val="00A61364"/>
    <w:rsid w:val="00A62E23"/>
    <w:rsid w:val="00A63030"/>
    <w:rsid w:val="00A66859"/>
    <w:rsid w:val="00A7361A"/>
    <w:rsid w:val="00A7548E"/>
    <w:rsid w:val="00A77451"/>
    <w:rsid w:val="00A825B2"/>
    <w:rsid w:val="00A8368A"/>
    <w:rsid w:val="00A86769"/>
    <w:rsid w:val="00A954AC"/>
    <w:rsid w:val="00A95793"/>
    <w:rsid w:val="00AA0297"/>
    <w:rsid w:val="00AA2661"/>
    <w:rsid w:val="00AA49FD"/>
    <w:rsid w:val="00AA711F"/>
    <w:rsid w:val="00AB0C33"/>
    <w:rsid w:val="00AB46C6"/>
    <w:rsid w:val="00AB5D8A"/>
    <w:rsid w:val="00AB6307"/>
    <w:rsid w:val="00AB7328"/>
    <w:rsid w:val="00AC1F29"/>
    <w:rsid w:val="00AC2C29"/>
    <w:rsid w:val="00AC7B1D"/>
    <w:rsid w:val="00AD3B28"/>
    <w:rsid w:val="00AE1328"/>
    <w:rsid w:val="00AE3A40"/>
    <w:rsid w:val="00AE3A59"/>
    <w:rsid w:val="00AE3D46"/>
    <w:rsid w:val="00AE7D44"/>
    <w:rsid w:val="00AF1288"/>
    <w:rsid w:val="00B00A61"/>
    <w:rsid w:val="00B12D8D"/>
    <w:rsid w:val="00B13968"/>
    <w:rsid w:val="00B14B43"/>
    <w:rsid w:val="00B1506F"/>
    <w:rsid w:val="00B15AEA"/>
    <w:rsid w:val="00B16DA9"/>
    <w:rsid w:val="00B17B07"/>
    <w:rsid w:val="00B17D20"/>
    <w:rsid w:val="00B2145A"/>
    <w:rsid w:val="00B214CE"/>
    <w:rsid w:val="00B231F4"/>
    <w:rsid w:val="00B23B6E"/>
    <w:rsid w:val="00B34067"/>
    <w:rsid w:val="00B406B8"/>
    <w:rsid w:val="00B44FCD"/>
    <w:rsid w:val="00B475BD"/>
    <w:rsid w:val="00B50E1F"/>
    <w:rsid w:val="00B51664"/>
    <w:rsid w:val="00B535A7"/>
    <w:rsid w:val="00B55428"/>
    <w:rsid w:val="00B5557A"/>
    <w:rsid w:val="00B62177"/>
    <w:rsid w:val="00B657F2"/>
    <w:rsid w:val="00B67222"/>
    <w:rsid w:val="00B674B7"/>
    <w:rsid w:val="00B7034F"/>
    <w:rsid w:val="00B7450D"/>
    <w:rsid w:val="00B85399"/>
    <w:rsid w:val="00B929DC"/>
    <w:rsid w:val="00B932F4"/>
    <w:rsid w:val="00B93D2D"/>
    <w:rsid w:val="00B94C15"/>
    <w:rsid w:val="00B97CF3"/>
    <w:rsid w:val="00BA0386"/>
    <w:rsid w:val="00BA0CBF"/>
    <w:rsid w:val="00BA2255"/>
    <w:rsid w:val="00BA393A"/>
    <w:rsid w:val="00BA3ED5"/>
    <w:rsid w:val="00BA5552"/>
    <w:rsid w:val="00BB1A39"/>
    <w:rsid w:val="00BB7FDE"/>
    <w:rsid w:val="00BC431A"/>
    <w:rsid w:val="00BC72EC"/>
    <w:rsid w:val="00BC74E4"/>
    <w:rsid w:val="00BD24EE"/>
    <w:rsid w:val="00BD3052"/>
    <w:rsid w:val="00BE017B"/>
    <w:rsid w:val="00BE055C"/>
    <w:rsid w:val="00BE07EE"/>
    <w:rsid w:val="00BE2C1C"/>
    <w:rsid w:val="00BE2D7A"/>
    <w:rsid w:val="00BE3F04"/>
    <w:rsid w:val="00BE5606"/>
    <w:rsid w:val="00BE7A65"/>
    <w:rsid w:val="00BF0883"/>
    <w:rsid w:val="00BF7189"/>
    <w:rsid w:val="00C0057A"/>
    <w:rsid w:val="00C01344"/>
    <w:rsid w:val="00C032C3"/>
    <w:rsid w:val="00C03E79"/>
    <w:rsid w:val="00C0533F"/>
    <w:rsid w:val="00C11C31"/>
    <w:rsid w:val="00C14E62"/>
    <w:rsid w:val="00C20041"/>
    <w:rsid w:val="00C23AC8"/>
    <w:rsid w:val="00C24B68"/>
    <w:rsid w:val="00C26342"/>
    <w:rsid w:val="00C26FC8"/>
    <w:rsid w:val="00C317EA"/>
    <w:rsid w:val="00C33605"/>
    <w:rsid w:val="00C33625"/>
    <w:rsid w:val="00C33FA7"/>
    <w:rsid w:val="00C37A2E"/>
    <w:rsid w:val="00C37E8A"/>
    <w:rsid w:val="00C42C80"/>
    <w:rsid w:val="00C5401A"/>
    <w:rsid w:val="00C55112"/>
    <w:rsid w:val="00C5526C"/>
    <w:rsid w:val="00C553BC"/>
    <w:rsid w:val="00C57FEF"/>
    <w:rsid w:val="00C620E0"/>
    <w:rsid w:val="00C63268"/>
    <w:rsid w:val="00C67927"/>
    <w:rsid w:val="00C67BFE"/>
    <w:rsid w:val="00C76399"/>
    <w:rsid w:val="00C76D69"/>
    <w:rsid w:val="00C820A7"/>
    <w:rsid w:val="00C83E0B"/>
    <w:rsid w:val="00C845FC"/>
    <w:rsid w:val="00C8517A"/>
    <w:rsid w:val="00C87697"/>
    <w:rsid w:val="00C936BD"/>
    <w:rsid w:val="00C97E87"/>
    <w:rsid w:val="00C97F1A"/>
    <w:rsid w:val="00CA0F51"/>
    <w:rsid w:val="00CA1B53"/>
    <w:rsid w:val="00CA2432"/>
    <w:rsid w:val="00CA34F2"/>
    <w:rsid w:val="00CA5B79"/>
    <w:rsid w:val="00CA6624"/>
    <w:rsid w:val="00CB47C3"/>
    <w:rsid w:val="00CB522F"/>
    <w:rsid w:val="00CB6358"/>
    <w:rsid w:val="00CC0A35"/>
    <w:rsid w:val="00CC18B3"/>
    <w:rsid w:val="00CC1962"/>
    <w:rsid w:val="00CC4A0E"/>
    <w:rsid w:val="00CE0E41"/>
    <w:rsid w:val="00CE102C"/>
    <w:rsid w:val="00CE2B00"/>
    <w:rsid w:val="00CE2D1F"/>
    <w:rsid w:val="00CE3C67"/>
    <w:rsid w:val="00CE4A35"/>
    <w:rsid w:val="00CE5873"/>
    <w:rsid w:val="00CE62B1"/>
    <w:rsid w:val="00CF1027"/>
    <w:rsid w:val="00CF21F4"/>
    <w:rsid w:val="00CF3C5C"/>
    <w:rsid w:val="00D00766"/>
    <w:rsid w:val="00D07582"/>
    <w:rsid w:val="00D1642B"/>
    <w:rsid w:val="00D227FA"/>
    <w:rsid w:val="00D249DF"/>
    <w:rsid w:val="00D2550A"/>
    <w:rsid w:val="00D261AA"/>
    <w:rsid w:val="00D34222"/>
    <w:rsid w:val="00D4417B"/>
    <w:rsid w:val="00D4480E"/>
    <w:rsid w:val="00D50B7C"/>
    <w:rsid w:val="00D54039"/>
    <w:rsid w:val="00D60CB7"/>
    <w:rsid w:val="00D61E3E"/>
    <w:rsid w:val="00D62617"/>
    <w:rsid w:val="00D62AAC"/>
    <w:rsid w:val="00D6338F"/>
    <w:rsid w:val="00D666B2"/>
    <w:rsid w:val="00D67CEA"/>
    <w:rsid w:val="00D72924"/>
    <w:rsid w:val="00D74BA0"/>
    <w:rsid w:val="00D75428"/>
    <w:rsid w:val="00D767B4"/>
    <w:rsid w:val="00D76FDB"/>
    <w:rsid w:val="00D846EE"/>
    <w:rsid w:val="00D8513F"/>
    <w:rsid w:val="00D85B9E"/>
    <w:rsid w:val="00D85CB3"/>
    <w:rsid w:val="00D870DA"/>
    <w:rsid w:val="00D87B34"/>
    <w:rsid w:val="00D92B00"/>
    <w:rsid w:val="00DA035E"/>
    <w:rsid w:val="00DA19EB"/>
    <w:rsid w:val="00DA2503"/>
    <w:rsid w:val="00DA2DB5"/>
    <w:rsid w:val="00DA4D71"/>
    <w:rsid w:val="00DB2C8E"/>
    <w:rsid w:val="00DB6200"/>
    <w:rsid w:val="00DC08EE"/>
    <w:rsid w:val="00DC0F07"/>
    <w:rsid w:val="00DC1D54"/>
    <w:rsid w:val="00DC32C5"/>
    <w:rsid w:val="00DD0D06"/>
    <w:rsid w:val="00DD0E2A"/>
    <w:rsid w:val="00DD2612"/>
    <w:rsid w:val="00DD30E8"/>
    <w:rsid w:val="00DD42B3"/>
    <w:rsid w:val="00DD4AB1"/>
    <w:rsid w:val="00DD5549"/>
    <w:rsid w:val="00DD5ACE"/>
    <w:rsid w:val="00DE0718"/>
    <w:rsid w:val="00DE3B37"/>
    <w:rsid w:val="00DE4386"/>
    <w:rsid w:val="00DF3498"/>
    <w:rsid w:val="00DF5E2A"/>
    <w:rsid w:val="00E00758"/>
    <w:rsid w:val="00E00FA0"/>
    <w:rsid w:val="00E01D24"/>
    <w:rsid w:val="00E01F71"/>
    <w:rsid w:val="00E10F69"/>
    <w:rsid w:val="00E125E3"/>
    <w:rsid w:val="00E13EBF"/>
    <w:rsid w:val="00E147AC"/>
    <w:rsid w:val="00E21392"/>
    <w:rsid w:val="00E21515"/>
    <w:rsid w:val="00E26E50"/>
    <w:rsid w:val="00E2715A"/>
    <w:rsid w:val="00E30C48"/>
    <w:rsid w:val="00E314E5"/>
    <w:rsid w:val="00E331F4"/>
    <w:rsid w:val="00E3323C"/>
    <w:rsid w:val="00E34A3D"/>
    <w:rsid w:val="00E354A7"/>
    <w:rsid w:val="00E35C60"/>
    <w:rsid w:val="00E366BB"/>
    <w:rsid w:val="00E36D8C"/>
    <w:rsid w:val="00E37442"/>
    <w:rsid w:val="00E40C2B"/>
    <w:rsid w:val="00E4206F"/>
    <w:rsid w:val="00E43835"/>
    <w:rsid w:val="00E440CF"/>
    <w:rsid w:val="00E5135D"/>
    <w:rsid w:val="00E557A5"/>
    <w:rsid w:val="00E55AB0"/>
    <w:rsid w:val="00E5659B"/>
    <w:rsid w:val="00E655EC"/>
    <w:rsid w:val="00E67FE5"/>
    <w:rsid w:val="00E71B10"/>
    <w:rsid w:val="00E76CEB"/>
    <w:rsid w:val="00E92D94"/>
    <w:rsid w:val="00E936BE"/>
    <w:rsid w:val="00E95814"/>
    <w:rsid w:val="00EA0EE7"/>
    <w:rsid w:val="00EA1E46"/>
    <w:rsid w:val="00EA475F"/>
    <w:rsid w:val="00EA56A2"/>
    <w:rsid w:val="00EA629E"/>
    <w:rsid w:val="00EB029F"/>
    <w:rsid w:val="00EB6416"/>
    <w:rsid w:val="00EB6D4E"/>
    <w:rsid w:val="00EC2B98"/>
    <w:rsid w:val="00EC37B3"/>
    <w:rsid w:val="00EC5A83"/>
    <w:rsid w:val="00ED1ED8"/>
    <w:rsid w:val="00ED2E8A"/>
    <w:rsid w:val="00ED44BC"/>
    <w:rsid w:val="00ED61DA"/>
    <w:rsid w:val="00ED6FD9"/>
    <w:rsid w:val="00EE70FC"/>
    <w:rsid w:val="00EE7C15"/>
    <w:rsid w:val="00EF2B6C"/>
    <w:rsid w:val="00EF3E1B"/>
    <w:rsid w:val="00EF52CA"/>
    <w:rsid w:val="00F003CD"/>
    <w:rsid w:val="00F00505"/>
    <w:rsid w:val="00F06B1B"/>
    <w:rsid w:val="00F12F35"/>
    <w:rsid w:val="00F15D65"/>
    <w:rsid w:val="00F17D46"/>
    <w:rsid w:val="00F20FCB"/>
    <w:rsid w:val="00F21CC7"/>
    <w:rsid w:val="00F24A95"/>
    <w:rsid w:val="00F259BE"/>
    <w:rsid w:val="00F25E33"/>
    <w:rsid w:val="00F31C1F"/>
    <w:rsid w:val="00F33535"/>
    <w:rsid w:val="00F36DD2"/>
    <w:rsid w:val="00F4022B"/>
    <w:rsid w:val="00F4490C"/>
    <w:rsid w:val="00F50F6D"/>
    <w:rsid w:val="00F54525"/>
    <w:rsid w:val="00F62495"/>
    <w:rsid w:val="00F6373E"/>
    <w:rsid w:val="00F64AE4"/>
    <w:rsid w:val="00F66BD5"/>
    <w:rsid w:val="00F66CF7"/>
    <w:rsid w:val="00F72482"/>
    <w:rsid w:val="00F7559E"/>
    <w:rsid w:val="00F8308F"/>
    <w:rsid w:val="00F85E7F"/>
    <w:rsid w:val="00F912AA"/>
    <w:rsid w:val="00F94807"/>
    <w:rsid w:val="00F97B77"/>
    <w:rsid w:val="00FA12F6"/>
    <w:rsid w:val="00FA2475"/>
    <w:rsid w:val="00FA6B53"/>
    <w:rsid w:val="00FA7841"/>
    <w:rsid w:val="00FA7F8B"/>
    <w:rsid w:val="00FB5350"/>
    <w:rsid w:val="00FB7F49"/>
    <w:rsid w:val="00FD021D"/>
    <w:rsid w:val="00FD06CA"/>
    <w:rsid w:val="00FD07A4"/>
    <w:rsid w:val="00FD21EA"/>
    <w:rsid w:val="00FD38A7"/>
    <w:rsid w:val="00FE24F6"/>
    <w:rsid w:val="00FE323B"/>
    <w:rsid w:val="00FE4054"/>
    <w:rsid w:val="00FE75CF"/>
    <w:rsid w:val="00FF0528"/>
    <w:rsid w:val="00FF2D01"/>
    <w:rsid w:val="00FF369C"/>
    <w:rsid w:val="00FF39CE"/>
    <w:rsid w:val="00FF44F5"/>
    <w:rsid w:val="00FF5495"/>
    <w:rsid w:val="00FF5D5D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aliases w:val="Без интервала Стандарт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7D1BD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2">
    <w:name w:val="Без интервала1"/>
    <w:rsid w:val="006238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  <w:lang w:eastAsia="en-US"/>
    </w:rPr>
  </w:style>
  <w:style w:type="paragraph" w:customStyle="1" w:styleId="docdata">
    <w:name w:val="docdata"/>
    <w:aliases w:val="docy,v5,6731,bqiaagaaeyqcaaagiaiaaanzfwaabwcxaaaaaaaaaaaaaaaaaaaaaaaaaaaaaaaaaaaaaaaaaaaaaaaaaaaaaaaaaaaaaaaaaaaaaaaaaaaaaaaaaaaaaaaaaaaaaaaaaaaaaaaaaaaaaaaaaaaaaaaaaaaaaaaaaaaaaaaaaaaaaaaaaaaaaaaaaaaaaaaaaaaaaaaaaaaaaaaaaaaaaaaaaaaaaaaaaaaaaaaa"/>
    <w:basedOn w:val="a"/>
    <w:rsid w:val="008E0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8676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86769"/>
  </w:style>
  <w:style w:type="character" w:customStyle="1" w:styleId="ConsPlusNormal0">
    <w:name w:val="ConsPlusNormal Знак"/>
    <w:link w:val="ConsPlusNormal"/>
    <w:qFormat/>
    <w:rsid w:val="005652CF"/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B1052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3">
    <w:name w:val="Выделение1"/>
    <w:uiPriority w:val="20"/>
    <w:qFormat/>
    <w:rsid w:val="008B7B8F"/>
    <w:rPr>
      <w:i/>
      <w:iCs/>
    </w:rPr>
  </w:style>
  <w:style w:type="character" w:customStyle="1" w:styleId="24">
    <w:name w:val="Основной текст (2)"/>
    <w:rsid w:val="008B7B8F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Без интервала Знак"/>
    <w:aliases w:val="Без интервала Стандарт Знак"/>
    <w:link w:val="a5"/>
    <w:uiPriority w:val="99"/>
    <w:rsid w:val="003C69FD"/>
  </w:style>
  <w:style w:type="paragraph" w:styleId="aff">
    <w:name w:val="Body Text"/>
    <w:basedOn w:val="a"/>
    <w:link w:val="aff0"/>
    <w:rsid w:val="003B6F0F"/>
    <w:pPr>
      <w:spacing w:after="0" w:line="240" w:lineRule="auto"/>
      <w:ind w:right="52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3B6F0F"/>
    <w:rPr>
      <w:rFonts w:ascii="Times New Roman" w:eastAsia="Times New Roman" w:hAnsi="Times New Roman"/>
      <w:lang w:eastAsia="ru-RU"/>
    </w:rPr>
  </w:style>
  <w:style w:type="character" w:customStyle="1" w:styleId="FontStyle20">
    <w:name w:val="Font Style20"/>
    <w:uiPriority w:val="99"/>
    <w:rsid w:val="003B6F0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B1A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BB1A39"/>
    <w:pPr>
      <w:widowControl w:val="0"/>
      <w:autoSpaceDE w:val="0"/>
      <w:autoSpaceDN w:val="0"/>
      <w:adjustRightInd w:val="0"/>
      <w:spacing w:after="0" w:line="310" w:lineRule="exact"/>
      <w:ind w:firstLine="799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14">
    <w:name w:val="Основной текст с отступом1"/>
    <w:uiPriority w:val="99"/>
    <w:rsid w:val="001540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A954A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758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5">
    <w:name w:val="Основной текст1"/>
    <w:unhideWhenUsed/>
    <w:rsid w:val="00314C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641"/>
      </w:tabs>
      <w:jc w:val="both"/>
    </w:pPr>
    <w:rPr>
      <w:rFonts w:ascii="Times New Roman" w:eastAsiaTheme="minorHAnsi" w:hAnsi="Times New Roman"/>
      <w:b/>
      <w:sz w:val="26"/>
      <w:szCs w:val="26"/>
      <w:lang w:eastAsia="en-US"/>
    </w:rPr>
  </w:style>
  <w:style w:type="paragraph" w:customStyle="1" w:styleId="16">
    <w:name w:val="Обычный (веб)1"/>
    <w:uiPriority w:val="99"/>
    <w:unhideWhenUsed/>
    <w:rsid w:val="00E00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2">
    <w:name w:val="Оглавление 9 Знак"/>
    <w:basedOn w:val="91"/>
    <w:next w:val="afd"/>
    <w:uiPriority w:val="99"/>
    <w:unhideWhenUsed/>
    <w:rsid w:val="000C36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Строгий1"/>
    <w:uiPriority w:val="22"/>
    <w:qFormat/>
    <w:rsid w:val="00134019"/>
    <w:rPr>
      <w:b/>
      <w:bCs/>
    </w:rPr>
  </w:style>
  <w:style w:type="table" w:customStyle="1" w:styleId="110">
    <w:name w:val="Таблица простая 11"/>
    <w:uiPriority w:val="59"/>
    <w:rsid w:val="002A3E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2A3E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uiPriority w:val="99"/>
    <w:rsid w:val="002A3E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uiPriority w:val="99"/>
    <w:rsid w:val="002A3E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uiPriority w:val="59"/>
    <w:rsid w:val="002A3E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uiPriority w:val="99"/>
    <w:rsid w:val="002A3E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uiPriority w:val="99"/>
    <w:rsid w:val="002A3E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uiPriority w:val="99"/>
    <w:rsid w:val="002A3E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Default">
    <w:name w:val="Default"/>
    <w:rsid w:val="0013346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16EB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lang w:eastAsia="ru-RU"/>
    </w:rPr>
  </w:style>
  <w:style w:type="paragraph" w:customStyle="1" w:styleId="25">
    <w:name w:val="Основной текст2"/>
    <w:rsid w:val="00726D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aliases w:val="Без интервала Стандарт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7D1BD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2">
    <w:name w:val="Без интервала1"/>
    <w:rsid w:val="006238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  <w:lang w:eastAsia="en-US"/>
    </w:rPr>
  </w:style>
  <w:style w:type="paragraph" w:customStyle="1" w:styleId="docdata">
    <w:name w:val="docdata"/>
    <w:aliases w:val="docy,v5,6731,bqiaagaaeyqcaaagiaiaaanzfwaabwcxaaaaaaaaaaaaaaaaaaaaaaaaaaaaaaaaaaaaaaaaaaaaaaaaaaaaaaaaaaaaaaaaaaaaaaaaaaaaaaaaaaaaaaaaaaaaaaaaaaaaaaaaaaaaaaaaaaaaaaaaaaaaaaaaaaaaaaaaaaaaaaaaaaaaaaaaaaaaaaaaaaaaaaaaaaaaaaaaaaaaaaaaaaaaaaaaaaaaaaaa"/>
    <w:basedOn w:val="a"/>
    <w:rsid w:val="008E0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8676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86769"/>
  </w:style>
  <w:style w:type="character" w:customStyle="1" w:styleId="ConsPlusNormal0">
    <w:name w:val="ConsPlusNormal Знак"/>
    <w:link w:val="ConsPlusNormal"/>
    <w:qFormat/>
    <w:rsid w:val="005652CF"/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B1052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3">
    <w:name w:val="Выделение1"/>
    <w:uiPriority w:val="20"/>
    <w:qFormat/>
    <w:rsid w:val="008B7B8F"/>
    <w:rPr>
      <w:i/>
      <w:iCs/>
    </w:rPr>
  </w:style>
  <w:style w:type="character" w:customStyle="1" w:styleId="24">
    <w:name w:val="Основной текст (2)"/>
    <w:rsid w:val="008B7B8F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Без интервала Знак"/>
    <w:aliases w:val="Без интервала Стандарт Знак"/>
    <w:link w:val="a5"/>
    <w:uiPriority w:val="99"/>
    <w:rsid w:val="003C69FD"/>
  </w:style>
  <w:style w:type="paragraph" w:styleId="aff">
    <w:name w:val="Body Text"/>
    <w:basedOn w:val="a"/>
    <w:link w:val="aff0"/>
    <w:rsid w:val="003B6F0F"/>
    <w:pPr>
      <w:spacing w:after="0" w:line="240" w:lineRule="auto"/>
      <w:ind w:right="52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3B6F0F"/>
    <w:rPr>
      <w:rFonts w:ascii="Times New Roman" w:eastAsia="Times New Roman" w:hAnsi="Times New Roman"/>
      <w:lang w:eastAsia="ru-RU"/>
    </w:rPr>
  </w:style>
  <w:style w:type="character" w:customStyle="1" w:styleId="FontStyle20">
    <w:name w:val="Font Style20"/>
    <w:uiPriority w:val="99"/>
    <w:rsid w:val="003B6F0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B1A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BB1A39"/>
    <w:pPr>
      <w:widowControl w:val="0"/>
      <w:autoSpaceDE w:val="0"/>
      <w:autoSpaceDN w:val="0"/>
      <w:adjustRightInd w:val="0"/>
      <w:spacing w:after="0" w:line="310" w:lineRule="exact"/>
      <w:ind w:firstLine="799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14">
    <w:name w:val="Основной текст с отступом1"/>
    <w:uiPriority w:val="99"/>
    <w:rsid w:val="001540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A954A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758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5">
    <w:name w:val="Основной текст1"/>
    <w:unhideWhenUsed/>
    <w:rsid w:val="00314C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641"/>
      </w:tabs>
      <w:jc w:val="both"/>
    </w:pPr>
    <w:rPr>
      <w:rFonts w:ascii="Times New Roman" w:eastAsiaTheme="minorHAnsi" w:hAnsi="Times New Roman"/>
      <w:b/>
      <w:sz w:val="26"/>
      <w:szCs w:val="26"/>
      <w:lang w:eastAsia="en-US"/>
    </w:rPr>
  </w:style>
  <w:style w:type="paragraph" w:customStyle="1" w:styleId="16">
    <w:name w:val="Обычный (веб)1"/>
    <w:uiPriority w:val="99"/>
    <w:unhideWhenUsed/>
    <w:rsid w:val="00E00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2">
    <w:name w:val="Оглавление 9 Знак"/>
    <w:basedOn w:val="91"/>
    <w:next w:val="afd"/>
    <w:uiPriority w:val="99"/>
    <w:unhideWhenUsed/>
    <w:rsid w:val="000C36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Строгий1"/>
    <w:uiPriority w:val="22"/>
    <w:qFormat/>
    <w:rsid w:val="00134019"/>
    <w:rPr>
      <w:b/>
      <w:bCs/>
    </w:rPr>
  </w:style>
  <w:style w:type="table" w:customStyle="1" w:styleId="110">
    <w:name w:val="Таблица простая 11"/>
    <w:uiPriority w:val="59"/>
    <w:rsid w:val="002A3E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2A3E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uiPriority w:val="99"/>
    <w:rsid w:val="002A3E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uiPriority w:val="99"/>
    <w:rsid w:val="002A3E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uiPriority w:val="59"/>
    <w:rsid w:val="002A3E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uiPriority w:val="99"/>
    <w:rsid w:val="002A3E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A3E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uiPriority w:val="99"/>
    <w:rsid w:val="002A3E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uiPriority w:val="99"/>
    <w:rsid w:val="002A3E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uiPriority w:val="99"/>
    <w:rsid w:val="002A3E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Default">
    <w:name w:val="Default"/>
    <w:rsid w:val="0013346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16EB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lang w:eastAsia="ru-RU"/>
    </w:rPr>
  </w:style>
  <w:style w:type="paragraph" w:customStyle="1" w:styleId="25">
    <w:name w:val="Основной текст2"/>
    <w:rsid w:val="00726D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economy57 (Петрова И.В.)</dc:creator>
  <cp:lastModifiedBy>Надежда Тарасова</cp:lastModifiedBy>
  <cp:revision>9</cp:revision>
  <dcterms:created xsi:type="dcterms:W3CDTF">2025-04-02T07:46:00Z</dcterms:created>
  <dcterms:modified xsi:type="dcterms:W3CDTF">2025-04-02T07:59:00Z</dcterms:modified>
  <cp:version>917504</cp:version>
</cp:coreProperties>
</file>