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395" w:rsidRDefault="00CD09A0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Ключевые показатели эффективности функционирования </w:t>
      </w:r>
    </w:p>
    <w:p w:rsidR="00D46395" w:rsidRDefault="00CD09A0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антимонопольного комплаенса в </w:t>
      </w:r>
      <w:r>
        <w:rPr>
          <w:rFonts w:ascii="Arial" w:eastAsia="Times New Roman" w:hAnsi="Arial" w:cs="Times New Roman"/>
          <w:b/>
          <w:bCs/>
          <w:sz w:val="26"/>
          <w:szCs w:val="26"/>
          <w:shd w:val="clear" w:color="auto" w:fill="FFFFFF"/>
          <w:lang w:eastAsia="ar-SA"/>
        </w:rPr>
        <w:t xml:space="preserve">администрации </w:t>
      </w:r>
    </w:p>
    <w:p w:rsidR="00D46395" w:rsidRDefault="00C03DC0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Times New Roman" w:hAnsi="Arial" w:cs="Times New Roman"/>
          <w:b/>
          <w:bCs/>
          <w:sz w:val="26"/>
          <w:szCs w:val="26"/>
          <w:shd w:val="clear" w:color="auto" w:fill="FFFFFF"/>
          <w:lang w:eastAsia="ar-SA"/>
        </w:rPr>
        <w:t>Красночетайского</w:t>
      </w:r>
      <w:r w:rsidR="004D7F4F">
        <w:rPr>
          <w:rFonts w:ascii="Arial" w:eastAsia="Times New Roman" w:hAnsi="Arial" w:cs="Times New Roman"/>
          <w:b/>
          <w:bCs/>
          <w:sz w:val="26"/>
          <w:szCs w:val="26"/>
          <w:shd w:val="clear" w:color="auto" w:fill="FFFFFF"/>
          <w:lang w:eastAsia="ar-SA"/>
        </w:rPr>
        <w:t xml:space="preserve"> муниципального округа</w:t>
      </w:r>
      <w:r w:rsidR="00CD09A0">
        <w:rPr>
          <w:rFonts w:ascii="Arial" w:eastAsia="Times New Roman" w:hAnsi="Arial" w:cs="Times New Roman"/>
          <w:b/>
          <w:bCs/>
          <w:sz w:val="26"/>
          <w:szCs w:val="26"/>
          <w:shd w:val="clear" w:color="auto" w:fill="FFFFFF"/>
          <w:lang w:eastAsia="ar-SA"/>
        </w:rPr>
        <w:t xml:space="preserve"> Чувашской Республики</w:t>
      </w:r>
      <w:r w:rsidR="00846567">
        <w:rPr>
          <w:rFonts w:ascii="Arial" w:eastAsia="Times New Roman" w:hAnsi="Arial" w:cs="Arial"/>
          <w:b/>
          <w:bCs/>
          <w:sz w:val="26"/>
          <w:szCs w:val="26"/>
          <w:shd w:val="clear" w:color="auto" w:fill="FFFFFF"/>
          <w:lang w:eastAsia="ar-SA"/>
        </w:rPr>
        <w:t xml:space="preserve"> в 202</w:t>
      </w:r>
      <w:r w:rsidR="00DC730F" w:rsidRPr="00DC730F">
        <w:rPr>
          <w:rFonts w:ascii="Arial" w:eastAsia="Times New Roman" w:hAnsi="Arial" w:cs="Arial"/>
          <w:b/>
          <w:bCs/>
          <w:sz w:val="26"/>
          <w:szCs w:val="26"/>
          <w:shd w:val="clear" w:color="auto" w:fill="FFFFFF"/>
          <w:lang w:eastAsia="ar-SA"/>
        </w:rPr>
        <w:t>5</w:t>
      </w:r>
      <w:bookmarkStart w:id="0" w:name="_GoBack"/>
      <w:bookmarkEnd w:id="0"/>
      <w:r w:rsidR="004D7F4F">
        <w:rPr>
          <w:rFonts w:ascii="Arial" w:eastAsia="Times New Roman" w:hAnsi="Arial" w:cs="Arial"/>
          <w:b/>
          <w:bCs/>
          <w:sz w:val="26"/>
          <w:szCs w:val="26"/>
          <w:shd w:val="clear" w:color="auto" w:fill="FFFFFF"/>
          <w:lang w:eastAsia="ar-SA"/>
        </w:rPr>
        <w:t xml:space="preserve"> </w:t>
      </w:r>
      <w:r w:rsidR="00CD09A0">
        <w:rPr>
          <w:rFonts w:ascii="Arial" w:eastAsia="Times New Roman" w:hAnsi="Arial" w:cs="Arial"/>
          <w:b/>
          <w:bCs/>
          <w:sz w:val="26"/>
          <w:szCs w:val="26"/>
          <w:shd w:val="clear" w:color="auto" w:fill="FFFFFF"/>
          <w:lang w:eastAsia="ar-SA"/>
        </w:rPr>
        <w:t>году</w:t>
      </w:r>
    </w:p>
    <w:p w:rsidR="00D46395" w:rsidRDefault="00D46395">
      <w:pPr>
        <w:spacing w:after="0" w:line="240" w:lineRule="auto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D46395" w:rsidRDefault="00CD09A0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Ключевые показатели эффективности функционирования антимонопольного комплаенса</w:t>
      </w:r>
      <w:r>
        <w:rPr>
          <w:rFonts w:ascii="Arial" w:hAnsi="Arial" w:cs="Arial"/>
          <w:sz w:val="26"/>
          <w:szCs w:val="26"/>
        </w:rPr>
        <w:t xml:space="preserve"> в </w:t>
      </w:r>
      <w:r>
        <w:rPr>
          <w:rFonts w:ascii="Arial" w:eastAsia="Times New Roman" w:hAnsi="Arial" w:cs="Times New Roman"/>
          <w:sz w:val="26"/>
          <w:szCs w:val="26"/>
          <w:shd w:val="clear" w:color="auto" w:fill="FFFFFF"/>
          <w:lang w:eastAsia="ar-SA"/>
        </w:rPr>
        <w:t>администрации Красноче</w:t>
      </w:r>
      <w:r w:rsidR="004D7F4F">
        <w:rPr>
          <w:rFonts w:ascii="Arial" w:eastAsia="Times New Roman" w:hAnsi="Arial" w:cs="Times New Roman"/>
          <w:sz w:val="26"/>
          <w:szCs w:val="26"/>
          <w:shd w:val="clear" w:color="auto" w:fill="FFFFFF"/>
          <w:lang w:eastAsia="ar-SA"/>
        </w:rPr>
        <w:t xml:space="preserve">тайского муниципального округа </w:t>
      </w:r>
      <w:r>
        <w:rPr>
          <w:rFonts w:ascii="Arial" w:eastAsia="Times New Roman" w:hAnsi="Arial" w:cs="Times New Roman"/>
          <w:sz w:val="26"/>
          <w:szCs w:val="26"/>
          <w:shd w:val="clear" w:color="auto" w:fill="FFFFFF"/>
          <w:lang w:eastAsia="ar-SA"/>
        </w:rPr>
        <w:t>Чувашской Республики</w:t>
      </w:r>
      <w:r>
        <w:rPr>
          <w:rFonts w:ascii="Arial" w:hAnsi="Arial" w:cs="Arial"/>
          <w:sz w:val="26"/>
          <w:szCs w:val="26"/>
        </w:rPr>
        <w:t xml:space="preserve"> (далее – </w:t>
      </w:r>
      <w:proofErr w:type="gramStart"/>
      <w:r>
        <w:rPr>
          <w:rFonts w:ascii="Arial" w:hAnsi="Arial" w:cs="Arial"/>
          <w:sz w:val="26"/>
          <w:szCs w:val="26"/>
        </w:rPr>
        <w:t>Администрация )</w:t>
      </w:r>
      <w:proofErr w:type="gramEnd"/>
      <w:r>
        <w:rPr>
          <w:rFonts w:ascii="Arial" w:hAnsi="Arial" w:cs="Arial"/>
          <w:sz w:val="26"/>
          <w:szCs w:val="26"/>
        </w:rPr>
        <w:t>:</w:t>
      </w:r>
    </w:p>
    <w:p w:rsidR="00D46395" w:rsidRDefault="00CD09A0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количество нарушений Администрации;</w:t>
      </w:r>
    </w:p>
    <w:p w:rsidR="00D46395" w:rsidRDefault="00CD09A0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доля проектов нормативных правовых актов, разработанных Администрацией, в которых выявлены риски нарушения антимонопольного законодательства;</w:t>
      </w:r>
    </w:p>
    <w:p w:rsidR="00D46395" w:rsidRDefault="00CD09A0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доля сотрудников Администрации, в отношении которых проведены обучающие мероприятия по антимонопольному законодательству и антимонопольному комплаенсу.</w:t>
      </w:r>
    </w:p>
    <w:p w:rsidR="00D46395" w:rsidRDefault="00CD09A0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Расчет ключевых показателей эффективности функционирования антимонопольного комплаенса в Администрации осуществляется в соответствии с Методикой расчета ключевых показателей эффективности функционирования в федеральном органе исполнительной власти антимонопольного комплаенса, утвержденной приказом ФАС России от 05.02.2019 № 133/19 «Об утверждении методики расчета ключевых показателей эффективности функционирования в федеральном органе исполнительной власти антимонопольного комплаенса».</w:t>
      </w:r>
    </w:p>
    <w:p w:rsidR="00D46395" w:rsidRDefault="00D463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D46395">
      <w:pgSz w:w="11906" w:h="16838"/>
      <w:pgMar w:top="851" w:right="851" w:bottom="851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D46395"/>
    <w:rsid w:val="004D7F4F"/>
    <w:rsid w:val="00846567"/>
    <w:rsid w:val="00C03DC0"/>
    <w:rsid w:val="00CD09A0"/>
    <w:rsid w:val="00D46395"/>
    <w:rsid w:val="00DC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5008FB-FFFF-4E74-8599-49C83283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6B9"/>
    <w:pPr>
      <w:suppressAutoHyphens w:val="0"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36C44"/>
    <w:rPr>
      <w:rFonts w:ascii="Segoe UI" w:hAnsi="Segoe UI" w:cs="Segoe UI"/>
      <w:sz w:val="18"/>
      <w:szCs w:val="18"/>
    </w:rPr>
  </w:style>
  <w:style w:type="character" w:customStyle="1" w:styleId="a4">
    <w:name w:val="Текст концевой сноски Знак"/>
    <w:basedOn w:val="a0"/>
    <w:uiPriority w:val="99"/>
    <w:semiHidden/>
    <w:qFormat/>
    <w:rsid w:val="001B439C"/>
    <w:rPr>
      <w:sz w:val="20"/>
      <w:szCs w:val="20"/>
    </w:rPr>
  </w:style>
  <w:style w:type="character" w:customStyle="1" w:styleId="a5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1B439C"/>
    <w:rPr>
      <w:vertAlign w:val="superscript"/>
    </w:rPr>
  </w:style>
  <w:style w:type="character" w:customStyle="1" w:styleId="-">
    <w:name w:val="Интернет-ссылка"/>
    <w:basedOn w:val="a0"/>
    <w:uiPriority w:val="99"/>
    <w:unhideWhenUsed/>
    <w:rsid w:val="001B439C"/>
    <w:rPr>
      <w:color w:val="0563C1" w:themeColor="hyperlink"/>
      <w:u w:val="single"/>
    </w:rPr>
  </w:style>
  <w:style w:type="character" w:customStyle="1" w:styleId="a6">
    <w:name w:val="Цветовое выделение"/>
    <w:qFormat/>
  </w:style>
  <w:style w:type="character" w:styleId="a7">
    <w:name w:val="Strong"/>
    <w:qFormat/>
    <w:rPr>
      <w:b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Balloon Text"/>
    <w:basedOn w:val="a"/>
    <w:uiPriority w:val="99"/>
    <w:semiHidden/>
    <w:unhideWhenUsed/>
    <w:qFormat/>
    <w:rsid w:val="00436C4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e">
    <w:name w:val="endnote text"/>
    <w:basedOn w:val="a"/>
    <w:uiPriority w:val="99"/>
    <w:semiHidden/>
    <w:unhideWhenUsed/>
    <w:rsid w:val="001B439C"/>
    <w:pPr>
      <w:spacing w:after="0" w:line="240" w:lineRule="auto"/>
    </w:pPr>
    <w:rPr>
      <w:sz w:val="20"/>
      <w:szCs w:val="20"/>
    </w:rPr>
  </w:style>
  <w:style w:type="paragraph" w:customStyle="1" w:styleId="ConsPlusTitle">
    <w:name w:val="ConsPlusTitle"/>
    <w:qFormat/>
    <w:pPr>
      <w:widowControl w:val="0"/>
    </w:pPr>
    <w:rPr>
      <w:rFonts w:ascii="Calibri" w:eastAsia="Calibri" w:hAnsi="Calibri" w:cs="Liberation Serif"/>
      <w:b/>
      <w:kern w:val="2"/>
      <w:sz w:val="24"/>
      <w:szCs w:val="20"/>
      <w:lang w:eastAsia="hi-IN"/>
    </w:rPr>
  </w:style>
  <w:style w:type="paragraph" w:customStyle="1" w:styleId="ConsPlusNormal">
    <w:name w:val="ConsPlusNormal"/>
    <w:qFormat/>
    <w:pPr>
      <w:widowControl w:val="0"/>
    </w:pPr>
    <w:rPr>
      <w:rFonts w:ascii="Calibri" w:eastAsia="Calibri" w:hAnsi="Calibri" w:cs="Liberation Serif"/>
      <w:kern w:val="2"/>
      <w:sz w:val="24"/>
      <w:szCs w:val="20"/>
      <w:lang w:eastAsia="hi-IN"/>
    </w:rPr>
  </w:style>
  <w:style w:type="paragraph" w:customStyle="1" w:styleId="af">
    <w:name w:val="Таблицы (моноширинный)"/>
    <w:basedOn w:val="a"/>
    <w:qFormat/>
    <w:rPr>
      <w:rFonts w:ascii="Arial" w:hAnsi="Arial"/>
      <w:lang w:eastAsia="ar-SA"/>
    </w:rPr>
  </w:style>
  <w:style w:type="paragraph" w:styleId="af0">
    <w:name w:val="No Spacing"/>
    <w:qFormat/>
    <w:rPr>
      <w:rFonts w:ascii="Times New Roman" w:eastAsia="Times New Roman" w:hAnsi="Times New Roman" w:cs="Liberation Serif"/>
      <w:kern w:val="2"/>
      <w:sz w:val="24"/>
      <w:szCs w:val="24"/>
      <w:lang w:eastAsia="hi-IN"/>
    </w:rPr>
  </w:style>
  <w:style w:type="paragraph" w:customStyle="1" w:styleId="13">
    <w:name w:val="13"/>
    <w:basedOn w:val="a"/>
    <w:qFormat/>
    <w:rPr>
      <w:sz w:val="28"/>
      <w:lang w:eastAsia="ru-RU"/>
    </w:rPr>
  </w:style>
  <w:style w:type="table" w:styleId="af1">
    <w:name w:val="Table Grid"/>
    <w:basedOn w:val="a1"/>
    <w:uiPriority w:val="39"/>
    <w:rsid w:val="00DE6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4D90E-8EB5-46C2-A0AF-FB8BB75CC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Лариса Геннадьевна</dc:creator>
  <dc:description/>
  <cp:lastModifiedBy>Адм. Красночетайского района - Екатерина Романова</cp:lastModifiedBy>
  <cp:revision>8</cp:revision>
  <dcterms:created xsi:type="dcterms:W3CDTF">2024-02-13T12:53:00Z</dcterms:created>
  <dcterms:modified xsi:type="dcterms:W3CDTF">2026-02-18T07:01:00Z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