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Постановление Кабинета Министров ЧР от 22.11.2023 N 738</w:t>
              <w:br/>
              <w:t xml:space="preserve">(ред. от 12.03.2025)</w:t>
              <w:br/>
              <w:t xml:space="preserve">"О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производителей"</w:t>
              <w:br/>
              <w:t xml:space="preserve">(вместе с "Положением о конкурсной комиссии по рассмотрению и оценке результатов деятельности органов местного самоуправления муниципальных и городских округов по содействию в расширении производства и продвижении продукции агропромышленного комплекса и пищевой продукции местных производителей")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22 ноября 2023 г. N 738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ПРИСУЖДЕНИЯ ГРАНТОВ ГЛАВЫ ЧУВАШСКОЙ РЕСПУБЛИКИ</w:t>
      </w:r>
    </w:p>
    <w:p>
      <w:pPr>
        <w:pStyle w:val="2"/>
        <w:jc w:val="center"/>
      </w:pPr>
      <w:r>
        <w:rPr>
          <w:sz w:val="24"/>
        </w:rPr>
        <w:t xml:space="preserve">МУНИЦИПАЛЬНЫМ И ГОРОДСКИМ ОКРУГАМ ЗА СОДЕЙСТВИЕ</w:t>
      </w:r>
    </w:p>
    <w:p>
      <w:pPr>
        <w:pStyle w:val="2"/>
        <w:jc w:val="center"/>
      </w:pPr>
      <w:r>
        <w:rPr>
          <w:sz w:val="24"/>
        </w:rPr>
        <w:t xml:space="preserve">В РАСШИРЕНИИ ПРОИЗВОДСТВА И ПРОДВИЖЕНИИ ПРОДУКЦИИ</w:t>
      </w:r>
    </w:p>
    <w:p>
      <w:pPr>
        <w:pStyle w:val="2"/>
        <w:jc w:val="center"/>
      </w:pPr>
      <w:r>
        <w:rPr>
          <w:sz w:val="24"/>
        </w:rPr>
        <w:t xml:space="preserve">АГРОПРОМЫШЛЕННОГО КОМПЛЕКСА И ПИЩЕВОЙ ПРОДУКЦИИ</w:t>
      </w:r>
    </w:p>
    <w:p>
      <w:pPr>
        <w:pStyle w:val="2"/>
        <w:jc w:val="center"/>
      </w:pPr>
      <w:r>
        <w:rPr>
          <w:sz w:val="24"/>
        </w:rPr>
        <w:t xml:space="preserve">МЕСТНЫХ ПРОИЗВОДИТЕЛЕЙ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12.03.2025 N 141)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Кабинет Министров Чувашской Республики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hyperlink w:history="0" w:anchor="P38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(приложение N 1);</w:t>
      </w:r>
    </w:p>
    <w:p>
      <w:pPr>
        <w:pStyle w:val="0"/>
        <w:spacing w:before="240" w:lineRule="auto"/>
        <w:ind w:firstLine="540"/>
        <w:jc w:val="both"/>
      </w:pPr>
      <w:hyperlink w:history="0" w:anchor="P180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показателей, характеризующих уровень содействия органов местного самоуправления муниципальных и городских округов в расширении производства и продвижении продукции агропромышленного комплекса и пищевой продукции местных производителей (приложение N 2);</w:t>
      </w:r>
    </w:p>
    <w:p>
      <w:pPr>
        <w:pStyle w:val="0"/>
        <w:spacing w:before="240" w:lineRule="auto"/>
        <w:ind w:firstLine="540"/>
        <w:jc w:val="both"/>
      </w:pPr>
      <w:hyperlink w:history="0" w:anchor="P30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конкурсной комиссии по рассмотрению и оценке результатов деятельности органов местного самоуправления муниципальных и городских округов по содействию в расширении производства и продвижении продукции агропромышленного комплекса и пищевой продукции местных производителей (приложение N 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Министерству экономического развития и имущественных отношений Чувашской Республики ежегодно не позднее 1 мая года, следующего за отчетным, формировать сведения о значениях показателей, характеризующих уровень содействия органов местного самоуправления муниципальных и городских округов в расширении производства и продвижении продукции агропромышленного комплекса и пищевой продукции местных производителей, согласно </w:t>
      </w:r>
      <w:hyperlink w:history="0" w:anchor="P180" w:tooltip="ПЕРЕЧЕНЬ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Министерству финансов Чувашской Республики ежегодно предусматривать в проекте республиканского бюджета Чувашской Республики на очередной финансовый год и плановый период необходимые средства на предоставление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О.НИКОЛАЕВ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22.11.2023 N 738</w:t>
      </w:r>
    </w:p>
    <w:p>
      <w:pPr>
        <w:pStyle w:val="0"/>
        <w:jc w:val="right"/>
      </w:pPr>
      <w:r>
        <w:rPr>
          <w:sz w:val="24"/>
        </w:rPr>
        <w:t xml:space="preserve">(приложение N 1)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ПОРЯДКЕ ПРИСУЖДЕНИЯ ГРАНТОВ ГЛАВЫ ЧУВАШСКОЙ РЕСПУБЛИКИ</w:t>
      </w:r>
    </w:p>
    <w:p>
      <w:pPr>
        <w:pStyle w:val="2"/>
        <w:jc w:val="center"/>
      </w:pPr>
      <w:r>
        <w:rPr>
          <w:sz w:val="24"/>
        </w:rPr>
        <w:t xml:space="preserve">МУНИЦИПАЛЬНЫМ И ГОРОДСКИМ ОКРУГАМ ЗА СОДЕЙСТВИЕ</w:t>
      </w:r>
    </w:p>
    <w:p>
      <w:pPr>
        <w:pStyle w:val="2"/>
        <w:jc w:val="center"/>
      </w:pPr>
      <w:r>
        <w:rPr>
          <w:sz w:val="24"/>
        </w:rPr>
        <w:t xml:space="preserve">В РАСШИРЕНИИ ПРОИЗВОДСТВА И ПРОДВИЖЕНИИ ПРОДУКЦИИ</w:t>
      </w:r>
    </w:p>
    <w:p>
      <w:pPr>
        <w:pStyle w:val="2"/>
        <w:jc w:val="center"/>
      </w:pPr>
      <w:r>
        <w:rPr>
          <w:sz w:val="24"/>
        </w:rPr>
        <w:t xml:space="preserve">АГРОПРОМЫШЛЕННОГО КОМПЛЕКСА И ПИЩЕВОЙ ПРОДУКЦИИ</w:t>
      </w:r>
    </w:p>
    <w:p>
      <w:pPr>
        <w:pStyle w:val="2"/>
        <w:jc w:val="center"/>
      </w:pPr>
      <w:r>
        <w:rPr>
          <w:sz w:val="24"/>
        </w:rPr>
        <w:t xml:space="preserve">МЕСТНЫХ ПРОИЗВОДИТЕЛЕЙ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12.03.2025 N 141)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Настоящее Положение определяет порядок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(далее - грант) на конкурсной основе.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Право на получение грантов имеют муниципальные и городские округа, органы местного самоуправления которых обеспечивают достижение наилучших значений показателей, предусмотренных перечнем показателей, характеризующих уровень содействия органов местного самоуправления муниципальных и городских округов в расширении производства и продвижении продукции агропромышленного комплекса и пищевой продукции местных производителей (далее - показатель), утвержденным постановлением Кабинета Министров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Гранты присуждаются по результатам оценки значений показателей.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Оценку значений показателей осуществляет конкурсная комиссия по рассмотрению и оценке результатов деятельности органов местного самоуправления муниципальных и городских округов по содействию в расширении производства и продвижении продукции агропромышленного комплекса и пищевой продукции местных производителей (далее - Комиссия).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Ежегодно предоставляются три гранта. Гранты присуждаются распоряжением Главы Чувашской Республики.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Выделение грантов муниципальным и городским округам осуществляется в пределах средств, предусмотренных на указанные цели в республиканском бюджете Чувашской Республики на текущий финансовый год и плановый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 настоящем Положении под продукцией местного производства понимаются продукция агропромышленного комплекса и пищевая продукция производителей, осуществляющих производственную деятельность на территории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оценки значений показателей</w:t>
      </w:r>
    </w:p>
    <w:p>
      <w:pPr>
        <w:pStyle w:val="2"/>
        <w:jc w:val="center"/>
      </w:pPr>
      <w:r>
        <w:rPr>
          <w:sz w:val="24"/>
        </w:rPr>
        <w:t xml:space="preserve">и подведение итогов по результатам оценки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12.03.2025 N 141.</w:t>
      </w:r>
    </w:p>
    <w:bookmarkStart w:id="62" w:name="P62"/>
    <w:bookmarkEnd w:id="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Оценка значений показателей осуществляется отдельно по каждому муниципальному образованию по следующим показателям: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доля представленности продукции местного производства в общем ассортименте торговых объектов (Р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) с весовым коэффициентом 0,1;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динамика доли представленности продукции местного производства в общем ассортименте торговых объектов (Р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) с весовым коэффициентом 0,1;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доля объема розничной продажи пива и пивных напитков местного производства в общем объеме продажи пива и пивных напитков (Р</w:t>
      </w:r>
      <w:r>
        <w:rPr>
          <w:sz w:val="24"/>
          <w:vertAlign w:val="subscript"/>
        </w:rPr>
        <w:t xml:space="preserve">3</w:t>
      </w:r>
      <w:r>
        <w:rPr>
          <w:sz w:val="24"/>
        </w:rPr>
        <w:t xml:space="preserve">) с весовым коэффициентом 0,15;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темп роста (снижения) объема розничной продажи пива и пивных напитков местного производства (Р</w:t>
      </w:r>
      <w:r>
        <w:rPr>
          <w:sz w:val="24"/>
          <w:vertAlign w:val="subscript"/>
        </w:rPr>
        <w:t xml:space="preserve">4</w:t>
      </w:r>
      <w:r>
        <w:rPr>
          <w:sz w:val="24"/>
        </w:rPr>
        <w:t xml:space="preserve">) с весовым коэффициентом 0,15;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нестационарных торговых объектов, в том числе мобильных, реализующих продукцию местного производства, с долей представленности не менее 70 процентов в общем ассортименте на 1000 чел. (P</w:t>
      </w:r>
      <w:r>
        <w:rPr>
          <w:sz w:val="24"/>
          <w:vertAlign w:val="subscript"/>
        </w:rPr>
        <w:t xml:space="preserve">5</w:t>
      </w:r>
      <w:r>
        <w:rPr>
          <w:sz w:val="24"/>
        </w:rPr>
        <w:t xml:space="preserve">) с весовым коэффициентом 0,1;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фирменных магазинов, отделов местных производителей на 1000 чел. (Р</w:t>
      </w:r>
      <w:r>
        <w:rPr>
          <w:sz w:val="24"/>
          <w:vertAlign w:val="subscript"/>
        </w:rPr>
        <w:t xml:space="preserve">6</w:t>
      </w:r>
      <w:r>
        <w:rPr>
          <w:sz w:val="24"/>
        </w:rPr>
        <w:t xml:space="preserve">) с весовым коэффициентом 0,1;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темп роста количества торговых объектов не менее чем на 1 процент по отношению к предыдущему календарному году (Р</w:t>
      </w:r>
      <w:r>
        <w:rPr>
          <w:sz w:val="24"/>
          <w:vertAlign w:val="subscript"/>
        </w:rPr>
        <w:t xml:space="preserve">7</w:t>
      </w:r>
      <w:r>
        <w:rPr>
          <w:sz w:val="24"/>
        </w:rPr>
        <w:t xml:space="preserve">) с весовым коэффициентом 0,05;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проведенных ярмарок "выходного дня", сельскохозяйственных, специализированных, тематических ярмарок на 1000 чел. (Р</w:t>
      </w:r>
      <w:r>
        <w:rPr>
          <w:sz w:val="24"/>
          <w:vertAlign w:val="subscript"/>
        </w:rPr>
        <w:t xml:space="preserve">8</w:t>
      </w:r>
      <w:r>
        <w:rPr>
          <w:sz w:val="24"/>
        </w:rPr>
        <w:t xml:space="preserve">) с весовым коэффициентом 0,1;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доля вновь открытых объектов потребительского рынка, занесенных в интерактивный торговый реестр на Региональном портале пространственных данных Чувашской Республики </w:t>
      </w:r>
      <w:hyperlink w:history="0" r:id="rId8">
        <w:r>
          <w:rPr>
            <w:sz w:val="24"/>
            <w:color w:val="0000ff"/>
          </w:rPr>
          <w:t xml:space="preserve">http://geo.cap.ru</w:t>
        </w:r>
      </w:hyperlink>
      <w:r>
        <w:rPr>
          <w:sz w:val="24"/>
        </w:rPr>
        <w:t xml:space="preserve"> (Р</w:t>
      </w:r>
      <w:r>
        <w:rPr>
          <w:sz w:val="24"/>
          <w:vertAlign w:val="subscript"/>
        </w:rPr>
        <w:t xml:space="preserve">9</w:t>
      </w:r>
      <w:r>
        <w:rPr>
          <w:sz w:val="24"/>
        </w:rPr>
        <w:t xml:space="preserve">), с весовым коэффициентом 0,05;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доля объема розничной продажи алкогольной продукции местного производства в общем объеме продажи алкогольной продукции (P</w:t>
      </w:r>
      <w:r>
        <w:rPr>
          <w:sz w:val="24"/>
          <w:vertAlign w:val="subscript"/>
        </w:rPr>
        <w:t xml:space="preserve">10</w:t>
      </w:r>
      <w:r>
        <w:rPr>
          <w:sz w:val="24"/>
        </w:rPr>
        <w:t xml:space="preserve">) с весовым коэффициентом 0,1.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При подведении итогов Комиссией оцениваются значения показателей, указанных в </w:t>
      </w:r>
      <w:hyperlink w:history="0" w:anchor="P62" w:tooltip="2.2. Оценка значений показателей осуществляется отдельно по каждому муниципальному образованию по следующим показателям:">
        <w:r>
          <w:rPr>
            <w:sz w:val="24"/>
            <w:color w:val="0000ff"/>
          </w:rPr>
          <w:t xml:space="preserve">пункте 2.2</w:t>
        </w:r>
      </w:hyperlink>
      <w:r>
        <w:rPr>
          <w:sz w:val="24"/>
        </w:rPr>
        <w:t xml:space="preserve"> настоящего Положения, по данным, представленным администрациями муниципальных и городских округов и Министерством экономического развития и имущественных отношений Чувашской Республики (далее - Минэкономразвития Чувашии).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При подведении итогов по результатам оценки значений показателей проводится ранжирование по значениям показателей, указанным в </w:t>
      </w:r>
      <w:hyperlink w:history="0" w:anchor="P62" w:tooltip="2.2. Оценка значений показателей осуществляется отдельно по каждому муниципальному образованию по следующим показателям:">
        <w:r>
          <w:rPr>
            <w:sz w:val="24"/>
            <w:color w:val="0000ff"/>
          </w:rPr>
          <w:t xml:space="preserve">пункте 2.2</w:t>
        </w:r>
      </w:hyperlink>
      <w:r>
        <w:rPr>
          <w:sz w:val="24"/>
        </w:rPr>
        <w:t xml:space="preserve"> настоящего Положения, путем присвоения баллов муниципальным округам, городским округам от 23 (максимальное значение показателя) до 1 (минимальное значение показателя). Ранг муниципального округа, городского округа определяется отдельно с учетом присвоенных баллов с поправкой на весовой коэффициент показателя.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каждому показателю, указанному в </w:t>
      </w:r>
      <w:hyperlink w:history="0" w:anchor="P62" w:tooltip="2.2. Оценка значений показателей осуществляется отдельно по каждому муниципальному образованию по следующим показателям:">
        <w:r>
          <w:rPr>
            <w:sz w:val="24"/>
            <w:color w:val="0000ff"/>
          </w:rPr>
          <w:t xml:space="preserve">пункте 2.2</w:t>
        </w:r>
      </w:hyperlink>
      <w:r>
        <w:rPr>
          <w:sz w:val="24"/>
        </w:rPr>
        <w:t xml:space="preserve"> настоящего Положения, рассчитывается ранг отдельно с учетом присвоенных баллов с поправкой на весовой коэффициент по формуле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R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= P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x 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R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ранг по отдельному i-у показателю, указанному в </w:t>
      </w:r>
      <w:hyperlink w:history="0" w:anchor="P62" w:tooltip="2.2. Оценка значений показателей осуществляется отдельно по каждому муниципальному образованию по следующим показателям:">
        <w:r>
          <w:rPr>
            <w:sz w:val="24"/>
            <w:color w:val="0000ff"/>
          </w:rPr>
          <w:t xml:space="preserve">пункте 2.2</w:t>
        </w:r>
      </w:hyperlink>
      <w:r>
        <w:rPr>
          <w:sz w:val="24"/>
        </w:rPr>
        <w:t xml:space="preserve"> настоящего Положения, с учетом присвоенных баллов с поправкой на весовой коэффициент;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P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значение балла, присвоенного показателю, указанному в </w:t>
      </w:r>
      <w:hyperlink w:history="0" w:anchor="P62" w:tooltip="2.2. Оценка значений показателей осуществляется отдельно по каждому муниципальному образованию по следующим показателям:">
        <w:r>
          <w:rPr>
            <w:sz w:val="24"/>
            <w:color w:val="0000ff"/>
          </w:rPr>
          <w:t xml:space="preserve">пункте 2.2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весовой коэффициент показателя, указанного в </w:t>
      </w:r>
      <w:hyperlink w:history="0" w:anchor="P62" w:tooltip="2.2. Оценка значений показателей осуществляется отдельно по каждому муниципальному образованию по следующим показателям:">
        <w:r>
          <w:rPr>
            <w:sz w:val="24"/>
            <w:color w:val="0000ff"/>
          </w:rPr>
          <w:t xml:space="preserve">пункте 2.2</w:t>
        </w:r>
      </w:hyperlink>
      <w:r>
        <w:rPr>
          <w:sz w:val="24"/>
        </w:rPr>
        <w:t xml:space="preserve"> настоящего Положения. Весовой коэффициент каждого показателя определяет значимость соответствующего показателя при подведении итогов по результатам оценки значений показателей.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равном значении показателей по нескольким муниципальным округам и городским округам им присваивается одинаковое количество баллов, соответствующее месту, которое заняли указанные муниципальные округа, городские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Баллы муниципальным округам и городским округам не присваиваются: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значениях показателя Р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, равных 0 и ниже;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значениях показателей Р</w:t>
      </w:r>
      <w:r>
        <w:rPr>
          <w:sz w:val="24"/>
          <w:vertAlign w:val="subscript"/>
        </w:rPr>
        <w:t xml:space="preserve">4</w:t>
      </w:r>
      <w:r>
        <w:rPr>
          <w:sz w:val="24"/>
        </w:rPr>
        <w:t xml:space="preserve"> и Р</w:t>
      </w:r>
      <w:r>
        <w:rPr>
          <w:sz w:val="24"/>
          <w:vertAlign w:val="subscript"/>
        </w:rPr>
        <w:t xml:space="preserve">7</w:t>
      </w:r>
      <w:r>
        <w:rPr>
          <w:sz w:val="24"/>
        </w:rPr>
        <w:t xml:space="preserve">, равных 100 процентам и ниже;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значениях показателей Р</w:t>
      </w:r>
      <w:r>
        <w:rPr>
          <w:sz w:val="24"/>
          <w:vertAlign w:val="subscript"/>
        </w:rPr>
        <w:t xml:space="preserve">5</w:t>
      </w:r>
      <w:r>
        <w:rPr>
          <w:sz w:val="24"/>
        </w:rPr>
        <w:t xml:space="preserve">, Р</w:t>
      </w:r>
      <w:r>
        <w:rPr>
          <w:sz w:val="24"/>
          <w:vertAlign w:val="subscript"/>
        </w:rPr>
        <w:t xml:space="preserve">6</w:t>
      </w:r>
      <w:r>
        <w:rPr>
          <w:sz w:val="24"/>
        </w:rPr>
        <w:t xml:space="preserve">, Р</w:t>
      </w:r>
      <w:r>
        <w:rPr>
          <w:sz w:val="24"/>
          <w:vertAlign w:val="subscript"/>
        </w:rPr>
        <w:t xml:space="preserve">8</w:t>
      </w:r>
      <w:r>
        <w:rPr>
          <w:sz w:val="24"/>
        </w:rPr>
        <w:t xml:space="preserve"> и Р</w:t>
      </w:r>
      <w:r>
        <w:rPr>
          <w:sz w:val="24"/>
          <w:vertAlign w:val="subscript"/>
        </w:rPr>
        <w:t xml:space="preserve">9</w:t>
      </w:r>
      <w:r>
        <w:rPr>
          <w:sz w:val="24"/>
        </w:rPr>
        <w:t xml:space="preserve">, равных 0.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Полученные ранги суммируются, и определяется итоговый ранг муниципального округа, городского округа по формуле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position w:val="-28"/>
        </w:rPr>
        <w:drawing>
          <wp:inline distT="0" distB="0" distL="0" distR="0">
            <wp:extent cx="788670" cy="5143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IR - итоговый ранг муниципального округа, городского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 - число показателей с учетом присвоенных баллов с поправкой на весовой коэффициент.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Муниципальному округу, городскому округу, получившему максимальное значение итогового ранга, присуждается первое место, получившему минимальное значение итогового ранга - последнее место.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По результатам оценки значений показателей за отчетный (календарный) год (с 1 января по 31 декабря включительно) Комиссия ежегодно не позднее 1 июня года, следующего за отчетным, определяет муниципальные округа, городские округа, достигшие наилучших значений показателей.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Порядок предоставления грантов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По результатам оценки значений показателей Комиссией предлагается предоставление трех грантов за первые три призовых места.</w:t>
      </w:r>
    </w:p>
    <w:p>
      <w:pPr>
        <w:pStyle w:val="0"/>
        <w:jc w:val="both"/>
      </w:pPr>
      <w:r>
        <w:rPr>
          <w:sz w:val="24"/>
        </w:rPr>
        <w:t xml:space="preserve">(п. 3.1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Распределение общей суммы средств, предусмотренных на выплату грантов муниципальным, городским округам, занявшим призовые места по результатам оценки значений показателей, осуществляется в следующих пропорциях: 40 процентов средств направляются на поощрение муниципального или городского округа, занявшего первое место по результатам оценки значений показателей, 35 процентов - на поощрение муниципального или городского округа, занявшего второе место, 25 процентов - на поощрение муниципального или городского округа, занявшего третье место.</w:t>
      </w:r>
    </w:p>
    <w:p>
      <w:pPr>
        <w:pStyle w:val="0"/>
        <w:jc w:val="both"/>
      </w:pPr>
      <w:r>
        <w:rPr>
          <w:sz w:val="24"/>
        </w:rPr>
        <w:t xml:space="preserve">(п. 3.2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Комиссия в течение трех рабочих дней со дня оформления протокола заседания Комиссии направляет его в Минэкономразвития Чувашии.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Минэкономразвития Чувашии в течение 15 дней после получения протокола заседания Комиссии готовит проект распоряжения Главы Чувашской Республики о присуждении грантов и представляет его Главе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В течение 10 рабочих дней со дня принятия распоряжения Главы Чувашской Республики о присуждении грантов Минэкономразвития Чувашии направляет администрациям муниципальных округов, городских округов, занявших призовые места по результатам оценки значений показателей (далее - получатель гранта), проект соглашения о предоставлении гранта (далее - соглашение).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рассмотрения и подписания проекта соглашения Минэкономразвития Чувашии и получателем гранта не превышает пяти рабочих дней со дня его получения.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Выплата грантов получателям грантов производится Минэкономразвития Чувашии не позднее одного месяца со дня официального опубликования распоряжения Главы Чувашской Республики о присуждении грантов.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Гранты предоставляются из республиканского бюджета Чувашской Республики в виде иных межбюджетных трансфертов бюджетам муниципальных округов, бюджетам городских округов.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 Средства республиканского бюджета Чувашской Республики на выплату грантов перечисляются с лицевого счета получателя средств - Минэкономразвития Чувашии, открытого в Министерстве финансов Чувашской Республики (далее - Минфин Чувашии), на счет Управления Федерального казначейства по Чувашской Республике, открытый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муниципальных округов, бюджеты городских округов.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3.9. Гранты муниципальным округам, городским округам предоставляются на основании соглашений, заключаемых между Минэкономразвития Чувашии и администрациями муниципальных округов, городских округов, в которых предусматриваются следующие положения: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цели, сроки, порядок, размер и условия предоставления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направления использования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права и обязанности сторон;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ответственность сторон за неисполнение или ненадлежащее исполнение условий соглашения;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документов, представляемых администрацией муниципального округа, городского округа для получения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значения показателей результативности использования гранта с учетом весовых коэффициентов, определяющих значимость соответствующего показателя. Значение суммы весовых коэффициентов показателей результативности использования гранта, установленных соглашением, не должно превышать 1;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обязательство администрации муниципального округа, городского округа о ведении учета показателей результативности использования гранта и представлении отчетности о достижении значений показателей результативности использования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обязательство администрации муниципального округа, городского округа о достижении значений показателей результативности использования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сроки проверки Минэкономразвития Чувашии соблюдения администрацией муниципального округа, городского округа условий и целей предоставления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возврата не использованных администрацией муниципального округа, городского округа остатков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возврата гранта в случаях выявления Минэкономразвития Чувашии или органами государственного финансового контроля фактов нарушения условий предоставления гранта, недостижения значений показателей результативности использования гранта, нецелевого использования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порядок, сроки и формы представления отчетности об использовании гранта и отчетности о достижении значений показателей результативности использования гранта.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Минэкономразвития Чувашии вправе предусматривать в соглашениях иные условия, определенные нормативными правовыми актами Российской Федерации и нормативными правовыми актами Чувашской Республики, регулирующими порядок предоставления из республиканского бюджета Чувашской Республики средств с учетом отраслевых особенностей.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3.10. Внесение в соглашение изменений, предусматривающих ухудшение значений результативности использования гранта,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гранта оказалось невозможным вследствие обстоятельств непреодолимой силы, препятствующих исполнению соответствующих обязательств.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3.11. Условиями предоставления гранта являются положительное решение Комиссии и наличие соглашения, заключенного между Минэкономразвития Чувашии и администрацией муниципального округа, городского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3.12. Гранты администрациями муниципальных округов, городских округов направляются на исполнение расходных обязательств по решению вопросов местного значения на создание условий для: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развития сельскохозяйственного производства, расширения рынка сбыта сельскохозяйственной продукции, сырья и продовольствия;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содействия развитию малого и среднего предпринимательства в сфере производства сельскохозяйственной продукции и продовольствия;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обеспечения жителей муниципального, городского округа услугами торговли и общественного питания (в части создания многоформатной инфраструктуры для реализации продукции агропромышленного комплекса и пищевой продукции местных производителей).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возврата грантов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Получатель гранта ежеквартально не позднее 15 числа месяца, следующего за отчетным кварталом, представляет отчетность об использовании гранта и отчетность о достижении значений показателей результативности использования гранта.</w:t>
      </w:r>
    </w:p>
    <w:p>
      <w:pPr>
        <w:pStyle w:val="0"/>
        <w:jc w:val="both"/>
      </w:pPr>
      <w:r>
        <w:rPr>
          <w:sz w:val="24"/>
        </w:rPr>
        <w:t xml:space="preserve">(п. 4.1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Администрации муниципальных округов,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сведений, содержащихся в представленных отчетах, целевое использование грантов, нарушение условий, установленных при предоставлении грантов, и обязательств, установленных соглашением.</w:t>
      </w:r>
    </w:p>
    <w:bookmarkStart w:id="143" w:name="P143"/>
    <w:bookmarkEnd w:id="14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В случае если администрацией муниципального округа, городского округа допущены нарушения обязательств, предусмотренных соглашением, в части достижения значений показателей результативности использования гранта и в срок до дня представления отчетности о достижении значений показателей результативности использования гранта в соответствии с соглашением в году, следующем за годом предоставления гранта, указанные нарушения не устранены, возврат средств гранта в республиканский бюджет Чувашской Республики осуществляется в срок не позднее 30 календарных дней со дня представления отчетности о достижении значений показателей результативности использования гранта.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средств, подлежащих возврату в республиканский бюджет Чувашской Республики, по каждому значению показателей результативности использования гранта, установленному соглашением, с учетом их весовых коэффициентов (V</w:t>
      </w:r>
      <w:r>
        <w:rPr>
          <w:sz w:val="24"/>
          <w:vertAlign w:val="subscript"/>
        </w:rPr>
        <w:t xml:space="preserve">возврата</w:t>
      </w:r>
      <w:r>
        <w:rPr>
          <w:sz w:val="24"/>
        </w:rPr>
        <w:t xml:space="preserve">) рассчитывается по формуле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возврата</w:t>
      </w:r>
      <w:r>
        <w:rPr>
          <w:sz w:val="24"/>
        </w:rPr>
        <w:t xml:space="preserve"> = V</w:t>
      </w:r>
      <w:r>
        <w:rPr>
          <w:sz w:val="24"/>
          <w:vertAlign w:val="subscript"/>
        </w:rPr>
        <w:t xml:space="preserve">гранта</w:t>
      </w:r>
      <w:r>
        <w:rPr>
          <w:sz w:val="24"/>
        </w:rPr>
        <w:t xml:space="preserve"> x (1 - D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/ S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x k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V</w:t>
      </w:r>
      <w:r>
        <w:rPr>
          <w:sz w:val="24"/>
          <w:vertAlign w:val="subscript"/>
        </w:rPr>
        <w:t xml:space="preserve">гранта</w:t>
      </w:r>
      <w:r>
        <w:rPr>
          <w:sz w:val="24"/>
        </w:rPr>
        <w:t xml:space="preserve"> - размер средств, перечисляемых в виде гранта в бюджет муниципального округа, бюджет городского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D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фактически достигнутое значение показателя результативности использования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S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плановое значение показателя результативности использования гранта, установленное соглашением;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k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, - весовой коэффициент показателя результативности использования гранта, установленный соглашением.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Основанием для освобождения муниципального округа, городского округа от применения мер ответственности, предусмотренных настоящим пунктом,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>
      <w:pPr>
        <w:pStyle w:val="0"/>
        <w:jc w:val="both"/>
      </w:pPr>
      <w:r>
        <w:rPr>
          <w:sz w:val="24"/>
        </w:rPr>
        <w:t xml:space="preserve">(п. 4.3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12.03.2025 N 141)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Не использованные по состоянию на 1 января текущего финансового года остатки гранта, предоставленного из республиканского бюджета Чувашской Республики бюджету муниципального округа, бюджету городского округа, подлежат возврату в республиканский бюджет Чувашской Республики в течение первых 15 рабочих дней текущего финансового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В случае если неиспользованный остаток гранта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Минфином Чувашии, определяемом с соблюдением общих требований, установленных Министерством финансов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При наличии потребности в не использованном в текущем финансовом году остатке гранта указанный остаток в соответствии с решением Минэкономразвития Чувашии по согласованию с Минфином Чувашии может быть использован муниципальным округом, городским округом в текущем финансовом году на те же цели в порядке, установленном бюджетным законодательством Российской Федерации для осуществления расходов бюджета муниципального округа, бюджета городского округа, источником финансового обеспечения которых является указанный грант.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В случае установления фактов нецелевого использования грантов, нарушения условий, установленных при предоставлении грантов, нарушения обязательств, предусмотренных в соглашениях в части достижения значений показателей результативности использования гранта, гранты подлежат возврату в республиканский бюджет Чувашской Республики в порядке, установленном законодательством Российской Федерации и законодательством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 Возврат гранта в республиканский бюджет Чувашской Республики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выявления фактов нарушения условий, установленных при предоставлении гранта, - в размере всей предоставленной суммы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нецелевого использования гранта - в размере суммы нецелевого использования гранта;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выявления фактов нарушения обязательств, предусмотренных в соглашениях в части достижения значений показателей результативности использования гранта, - в соответствии с </w:t>
      </w:r>
      <w:hyperlink w:history="0" w:anchor="P143" w:tooltip="4.3. В случае если администрацией муниципального округа, городского округа допущены нарушения обязательств, предусмотренных соглашением, в части достижения значений показателей результативности использования гранта и в срок до дня представления отчетности о достижении значений показателей результативности использования гранта в соответствии с соглашением в году, следующем за годом предоставления гранта, указанные нарушения не устранены, возврат средств гранта в республиканский бюджет Чувашской Республики...">
        <w:r>
          <w:rPr>
            <w:sz w:val="24"/>
            <w:color w:val="0000ff"/>
          </w:rPr>
          <w:t xml:space="preserve">пунктом 4.3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Осуществление контроля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Контроль за соблюдением администрациями муниципальных округов, городских округов условий, установленных при предоставлении грантов, осуществляется Минэкономразвития Чувашии и органами государственного финансового контроля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22.11.2023 N 738</w:t>
      </w:r>
    </w:p>
    <w:p>
      <w:pPr>
        <w:pStyle w:val="0"/>
        <w:jc w:val="right"/>
      </w:pPr>
      <w:r>
        <w:rPr>
          <w:sz w:val="24"/>
        </w:rPr>
        <w:t xml:space="preserve">(приложение N 2)</w:t>
      </w:r>
    </w:p>
    <w:p>
      <w:pPr>
        <w:pStyle w:val="0"/>
        <w:jc w:val="both"/>
      </w:pPr>
      <w:r>
        <w:rPr>
          <w:sz w:val="24"/>
        </w:rPr>
      </w:r>
    </w:p>
    <w:bookmarkStart w:id="180" w:name="P180"/>
    <w:bookmarkEnd w:id="180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ПОКАЗАТЕЛЕЙ, ХАРАКТЕРИЗУЮЩИХ УРОВЕНЬ СОДЕЙСТВИЯ ОРГАНОВ</w:t>
      </w:r>
    </w:p>
    <w:p>
      <w:pPr>
        <w:pStyle w:val="2"/>
        <w:jc w:val="center"/>
      </w:pPr>
      <w:r>
        <w:rPr>
          <w:sz w:val="24"/>
        </w:rPr>
        <w:t xml:space="preserve">МЕСТНОГО САМОУПРАВЛЕНИЯ МУНИЦИПАЛЬНЫХ И ГОРОДСКИХ ОКРУГОВ</w:t>
      </w:r>
    </w:p>
    <w:p>
      <w:pPr>
        <w:pStyle w:val="2"/>
        <w:jc w:val="center"/>
      </w:pPr>
      <w:r>
        <w:rPr>
          <w:sz w:val="24"/>
        </w:rPr>
        <w:t xml:space="preserve">В РАСШИРЕНИИ ПРОИЗВОДСТВА И ПРОДВИЖЕНИИ ПРОДУКЦИИ</w:t>
      </w:r>
    </w:p>
    <w:p>
      <w:pPr>
        <w:pStyle w:val="2"/>
        <w:jc w:val="center"/>
      </w:pPr>
      <w:r>
        <w:rPr>
          <w:sz w:val="24"/>
        </w:rPr>
        <w:t xml:space="preserve">АГРОПРОМЫШЛЕННОГО КОМПЛЕКСА И ПИЩЕВОЙ ПРОДУКЦИИ</w:t>
      </w:r>
    </w:p>
    <w:p>
      <w:pPr>
        <w:pStyle w:val="2"/>
        <w:jc w:val="center"/>
      </w:pPr>
      <w:r>
        <w:rPr>
          <w:sz w:val="24"/>
        </w:rPr>
        <w:t xml:space="preserve">МЕСТНЫХ ПРОИЗВОДИТЕЛЕЙ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12.03.2025 N 141)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2438"/>
        <w:gridCol w:w="1247"/>
        <w:gridCol w:w="1411"/>
        <w:gridCol w:w="3515"/>
      </w:tblGrid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пп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показателей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4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за формирование показателя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Методика расчета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Доля представленности продукции местного производства в общем ассортименте торговых объектов (P</w:t>
            </w:r>
            <w:r>
              <w:rPr>
                <w:sz w:val="24"/>
                <w:vertAlign w:val="subscript"/>
              </w:rPr>
              <w:t xml:space="preserve">1</w:t>
            </w:r>
            <w:r>
              <w:rPr>
                <w:sz w:val="24"/>
              </w:rPr>
              <w:t xml:space="preserve">) с весовым коэффициентом 0,1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результаты обследований торговых объектов специалистами администраций муниципальных и городских округов.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1</w:t>
            </w:r>
            <w:r>
              <w:rPr>
                <w:sz w:val="24"/>
              </w:rPr>
              <w:t xml:space="preserve"> = (SKU</w:t>
            </w:r>
            <w:r>
              <w:rPr>
                <w:sz w:val="24"/>
                <w:vertAlign w:val="subscript"/>
              </w:rPr>
              <w:t xml:space="preserve">мп</w:t>
            </w:r>
            <w:r>
              <w:rPr>
                <w:sz w:val="24"/>
              </w:rPr>
              <w:t xml:space="preserve"> / SKU</w:t>
            </w:r>
            <w:r>
              <w:rPr>
                <w:sz w:val="24"/>
                <w:vertAlign w:val="subscript"/>
              </w:rPr>
              <w:t xml:space="preserve">общ</w:t>
            </w:r>
            <w:r>
              <w:rPr>
                <w:sz w:val="24"/>
              </w:rPr>
              <w:t xml:space="preserve">) x 100,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SKU</w:t>
            </w:r>
            <w:r>
              <w:rPr>
                <w:sz w:val="24"/>
                <w:vertAlign w:val="subscript"/>
              </w:rPr>
              <w:t xml:space="preserve">мп</w:t>
            </w:r>
            <w:r>
              <w:rPr>
                <w:sz w:val="24"/>
              </w:rPr>
              <w:t xml:space="preserve"> - количество наименований продукции местного производства, ед.;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SKU</w:t>
            </w:r>
            <w:r>
              <w:rPr>
                <w:sz w:val="24"/>
                <w:vertAlign w:val="subscript"/>
              </w:rPr>
              <w:t xml:space="preserve">общ</w:t>
            </w:r>
            <w:r>
              <w:rPr>
                <w:sz w:val="24"/>
              </w:rPr>
              <w:t xml:space="preserve"> - общее количество наименований продукции в торговых объектах, ед.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Динамика доли представленности продукции местного производства в общем ассортименте торговых объектов (P</w:t>
            </w:r>
            <w:r>
              <w:rPr>
                <w:sz w:val="24"/>
                <w:vertAlign w:val="subscript"/>
              </w:rPr>
              <w:t xml:space="preserve">2</w:t>
            </w:r>
            <w:r>
              <w:rPr>
                <w:sz w:val="24"/>
              </w:rPr>
              <w:t xml:space="preserve">) с весовым коэффициентом 0,1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процентных пункта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результаты ежеквартального мониторинга данных о доле представленности продукции местного производства в общем ассортименте торговых объектов, проводимого Минэкономразвития Чувашии.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2</w:t>
            </w:r>
            <w:r>
              <w:rPr>
                <w:sz w:val="24"/>
              </w:rPr>
              <w:t xml:space="preserve"> = P</w:t>
            </w:r>
            <w:r>
              <w:rPr>
                <w:sz w:val="24"/>
                <w:vertAlign w:val="subscript"/>
              </w:rPr>
              <w:t xml:space="preserve">1 (на конец периода)</w:t>
            </w:r>
            <w:r>
              <w:rPr>
                <w:sz w:val="24"/>
              </w:rPr>
              <w:t xml:space="preserve"> - P</w:t>
            </w:r>
            <w:r>
              <w:rPr>
                <w:sz w:val="24"/>
                <w:vertAlign w:val="subscript"/>
              </w:rPr>
              <w:t xml:space="preserve">1 (на начало периода)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1 (на конец периода)</w:t>
            </w:r>
            <w:r>
              <w:rPr>
                <w:sz w:val="24"/>
              </w:rPr>
              <w:t xml:space="preserve"> - доля представленности продукции местного производства в общем ассортименте торговых объектов на конец отчетного периода, %;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1 (на начало периода)</w:t>
            </w:r>
            <w:r>
              <w:rPr>
                <w:sz w:val="24"/>
              </w:rPr>
              <w:t xml:space="preserve"> - доля представленности продукции местного производства в общем ассортименте торговых объектов на начало отчетного периода, %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Доля объема розничной продажи пива и пивных напитков местного производства в общем объеме продажи пива и пивных напитков (P</w:t>
            </w:r>
            <w:r>
              <w:rPr>
                <w:sz w:val="24"/>
                <w:vertAlign w:val="subscript"/>
              </w:rPr>
              <w:t xml:space="preserve">3</w:t>
            </w:r>
            <w:r>
              <w:rPr>
                <w:sz w:val="24"/>
              </w:rPr>
              <w:t xml:space="preserve">) с весовым коэффициентом 0,15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результаты мониторинга данных информационного ресурса Федеральной службы по регулированию алкогольного рынка.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3</w:t>
            </w:r>
            <w:r>
              <w:rPr>
                <w:sz w:val="24"/>
              </w:rPr>
              <w:t xml:space="preserve"> = ОП</w:t>
            </w:r>
            <w:r>
              <w:rPr>
                <w:sz w:val="24"/>
                <w:vertAlign w:val="subscript"/>
              </w:rPr>
              <w:t xml:space="preserve">мп</w:t>
            </w:r>
            <w:r>
              <w:rPr>
                <w:sz w:val="24"/>
              </w:rPr>
              <w:t xml:space="preserve"> / ОП</w:t>
            </w:r>
            <w:r>
              <w:rPr>
                <w:sz w:val="24"/>
                <w:vertAlign w:val="subscript"/>
              </w:rPr>
              <w:t xml:space="preserve">общ</w:t>
            </w:r>
            <w:r>
              <w:rPr>
                <w:sz w:val="24"/>
              </w:rPr>
              <w:t xml:space="preserve"> x 100,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ОП</w:t>
            </w:r>
            <w:r>
              <w:rPr>
                <w:sz w:val="24"/>
                <w:vertAlign w:val="subscript"/>
              </w:rPr>
              <w:t xml:space="preserve">мп</w:t>
            </w:r>
            <w:r>
              <w:rPr>
                <w:sz w:val="24"/>
              </w:rPr>
              <w:t xml:space="preserve"> - объем розничной продажи пива и пивных напитков местного производства за отчетный период, тыс. дал;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ОП</w:t>
            </w:r>
            <w:r>
              <w:rPr>
                <w:sz w:val="24"/>
                <w:vertAlign w:val="subscript"/>
              </w:rPr>
              <w:t xml:space="preserve">общ</w:t>
            </w:r>
            <w:r>
              <w:rPr>
                <w:sz w:val="24"/>
              </w:rPr>
              <w:t xml:space="preserve"> - общий объем розничной продажи пива и пивных напитков за отчетный период, тыс. дал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Темп роста (снижения) объема розничной продажи пива и пивных напитков местного производства (P</w:t>
            </w:r>
            <w:r>
              <w:rPr>
                <w:sz w:val="24"/>
                <w:vertAlign w:val="subscript"/>
              </w:rPr>
              <w:t xml:space="preserve">4</w:t>
            </w:r>
            <w:r>
              <w:rPr>
                <w:sz w:val="24"/>
              </w:rPr>
              <w:t xml:space="preserve">) с весовым коэффициентом 0,15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результаты мониторинга данных информационного ресурса Федеральной службы по регулированию алкогольного рынка.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4</w:t>
            </w:r>
            <w:r>
              <w:rPr>
                <w:sz w:val="24"/>
              </w:rPr>
              <w:t xml:space="preserve"> = ОП</w:t>
            </w:r>
            <w:r>
              <w:rPr>
                <w:sz w:val="24"/>
                <w:vertAlign w:val="subscript"/>
              </w:rPr>
              <w:t xml:space="preserve">мп1</w:t>
            </w:r>
            <w:r>
              <w:rPr>
                <w:sz w:val="24"/>
              </w:rPr>
              <w:t xml:space="preserve"> / ОП</w:t>
            </w:r>
            <w:r>
              <w:rPr>
                <w:sz w:val="24"/>
                <w:vertAlign w:val="subscript"/>
              </w:rPr>
              <w:t xml:space="preserve">мп2</w:t>
            </w:r>
            <w:r>
              <w:rPr>
                <w:sz w:val="24"/>
              </w:rPr>
              <w:t xml:space="preserve"> x 100,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ОП</w:t>
            </w:r>
            <w:r>
              <w:rPr>
                <w:sz w:val="24"/>
                <w:vertAlign w:val="subscript"/>
              </w:rPr>
              <w:t xml:space="preserve">мп1</w:t>
            </w:r>
            <w:r>
              <w:rPr>
                <w:sz w:val="24"/>
              </w:rPr>
              <w:t xml:space="preserve"> - объем розничной продажи пива и пивных напитков местного производства за отчетный период, тыс. дал;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ОП</w:t>
            </w:r>
            <w:r>
              <w:rPr>
                <w:sz w:val="24"/>
                <w:vertAlign w:val="subscript"/>
              </w:rPr>
              <w:t xml:space="preserve">мп2</w:t>
            </w:r>
            <w:r>
              <w:rPr>
                <w:sz w:val="24"/>
              </w:rPr>
              <w:t xml:space="preserve"> - объем розничной продажи пива и пивных напитков местного производства за аналогичный период прошлого года, тыс. дал</w:t>
            </w:r>
          </w:p>
        </w:tc>
      </w:tr>
      <w:tr>
        <w:tblPrEx>
          <w:tblBorders>
            <w:insideH w:val="nil"/>
          </w:tblBorders>
        </w:tblPrEx>
        <w:tc>
          <w:tcPr>
            <w:tcW w:w="424" w:type="dxa"/>
            <w:tcBorders>
              <w:left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43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нестационарных торговых объектов, в том числе мобильных, реализующих продукцию местного производства, с долей представленности не менее 70 процентов в общем ассортименте на 1000 чел. (P</w:t>
            </w:r>
            <w:r>
              <w:rPr>
                <w:sz w:val="24"/>
                <w:vertAlign w:val="subscript"/>
              </w:rPr>
              <w:t xml:space="preserve">5</w:t>
            </w:r>
            <w:r>
              <w:rPr>
                <w:sz w:val="24"/>
              </w:rPr>
              <w:t xml:space="preserve">) с весовым коэффициентом 0,1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</w:t>
            </w:r>
          </w:p>
        </w:tc>
        <w:tc>
          <w:tcPr>
            <w:tcW w:w="141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список нестационарных торговых объектов, предоставленных администрациями муниципальных округов, городских округов.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5</w:t>
            </w:r>
            <w:r>
              <w:rPr>
                <w:sz w:val="24"/>
              </w:rPr>
              <w:t xml:space="preserve"> = К</w:t>
            </w:r>
            <w:r>
              <w:rPr>
                <w:sz w:val="24"/>
                <w:vertAlign w:val="subscript"/>
              </w:rPr>
              <w:t xml:space="preserve">нто</w:t>
            </w:r>
            <w:r>
              <w:rPr>
                <w:sz w:val="24"/>
              </w:rPr>
              <w:t xml:space="preserve"> / Ч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</w:t>
            </w:r>
            <w:r>
              <w:rPr>
                <w:sz w:val="24"/>
                <w:vertAlign w:val="subscript"/>
              </w:rPr>
              <w:t xml:space="preserve">нто</w:t>
            </w:r>
            <w:r>
              <w:rPr>
                <w:sz w:val="24"/>
              </w:rPr>
              <w:t xml:space="preserve"> - количество нестационарных торговых объектов, в том числе мобильных, реализующих продукцию местного производства, с долей представленности не менее 70 процентов в общем ассортименте, ед.;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Ч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 - численность населения муниципального округа (городского округа), тыс. человек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3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5 в ред. </w:t>
            </w:r>
            <w:r>
              <w:rPr>
                <w:sz w:val="24"/>
              </w:rPr>
              <w:t xml:space="preserve">Постановления</w:t>
            </w:r>
            <w:r>
              <w:rPr>
                <w:sz w:val="24"/>
              </w:rPr>
              <w:t xml:space="preserve"> Кабинета Министров ЧР от 12.03.2025 N 141)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фирменных магазинов, отделов местных производителей на 1000 чел. (P</w:t>
            </w:r>
            <w:r>
              <w:rPr>
                <w:sz w:val="24"/>
                <w:vertAlign w:val="subscript"/>
              </w:rPr>
              <w:t xml:space="preserve">6</w:t>
            </w:r>
            <w:r>
              <w:rPr>
                <w:sz w:val="24"/>
              </w:rPr>
              <w:t xml:space="preserve">) с весовым коэффициентом 0,1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список фирменных магазинов, отделов местных производителей, предоставленных администрациями муниципальных и городских округов.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6</w:t>
            </w:r>
            <w:r>
              <w:rPr>
                <w:sz w:val="24"/>
              </w:rPr>
              <w:t xml:space="preserve"> = Ф / Ч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 - количество фирменных магазинов, отделов местных производителей, ед.;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Ч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 - численность населения муниципального округа (городского округа), тыс. человек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Темп роста количества торговых объектов не менее чем на 1 процент по отношению к предыдущему календарному году (P</w:t>
            </w:r>
            <w:r>
              <w:rPr>
                <w:sz w:val="24"/>
                <w:vertAlign w:val="subscript"/>
              </w:rPr>
              <w:t xml:space="preserve">7</w:t>
            </w:r>
            <w:r>
              <w:rPr>
                <w:sz w:val="24"/>
              </w:rPr>
              <w:t xml:space="preserve">) с весовым коэффициентом 0,05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список торговых объектов, предоставленных администрациями муниципальных и городских округов.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7</w:t>
            </w:r>
            <w:r>
              <w:rPr>
                <w:sz w:val="24"/>
              </w:rPr>
              <w:t xml:space="preserve"> = К</w:t>
            </w:r>
            <w:r>
              <w:rPr>
                <w:sz w:val="24"/>
                <w:vertAlign w:val="subscript"/>
              </w:rPr>
              <w:t xml:space="preserve">то1</w:t>
            </w:r>
            <w:r>
              <w:rPr>
                <w:sz w:val="24"/>
              </w:rPr>
              <w:t xml:space="preserve"> / К</w:t>
            </w:r>
            <w:r>
              <w:rPr>
                <w:sz w:val="24"/>
                <w:vertAlign w:val="subscript"/>
              </w:rPr>
              <w:t xml:space="preserve">то2</w:t>
            </w:r>
            <w:r>
              <w:rPr>
                <w:sz w:val="24"/>
              </w:rPr>
              <w:t xml:space="preserve"> x 100,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</w:t>
            </w:r>
            <w:r>
              <w:rPr>
                <w:sz w:val="24"/>
                <w:vertAlign w:val="subscript"/>
              </w:rPr>
              <w:t xml:space="preserve">то1</w:t>
            </w:r>
            <w:r>
              <w:rPr>
                <w:sz w:val="24"/>
              </w:rPr>
              <w:t xml:space="preserve"> - количество торговых объектов согласно списку торговых объектов за отчетный период, ед.;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</w:t>
            </w:r>
            <w:r>
              <w:rPr>
                <w:sz w:val="24"/>
                <w:vertAlign w:val="subscript"/>
              </w:rPr>
              <w:t xml:space="preserve">то2</w:t>
            </w:r>
            <w:r>
              <w:rPr>
                <w:sz w:val="24"/>
              </w:rPr>
              <w:t xml:space="preserve"> - количество торговых объектов согласно списку торговых объектов за аналогичный период прошлого года, ед.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проведенных ярмарок "выходного дня", сельскохозяйственных, специализированных, тематических ярмарок на 1000 чел. (P</w:t>
            </w:r>
            <w:r>
              <w:rPr>
                <w:sz w:val="24"/>
                <w:vertAlign w:val="subscript"/>
              </w:rPr>
              <w:t xml:space="preserve">8</w:t>
            </w:r>
            <w:r>
              <w:rPr>
                <w:sz w:val="24"/>
              </w:rPr>
              <w:t xml:space="preserve">) с весовым коэффициентом 0,1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ежеквартальная информация об итогах проведения ярмарок, представленная администрациями муниципальных и городских округов.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8</w:t>
            </w:r>
            <w:r>
              <w:rPr>
                <w:sz w:val="24"/>
              </w:rPr>
              <w:t xml:space="preserve"> = Я / Ч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Я - количество ярмарок "выходного дня", сельскохозяйственных, специализированных, тематических ярмарок, ед.;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Ч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 - численность населения муниципального округа (городского округа), тыс. человек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Доля вновь открытых объектов потребительского рынка, занесенных в интерактивный торговый реестр на Региональном портале пространственных данных Чувашской Республики </w:t>
            </w:r>
            <w:hyperlink w:history="0" r:id="rId10">
              <w:r>
                <w:rPr>
                  <w:sz w:val="24"/>
                  <w:color w:val="0000ff"/>
                </w:rPr>
                <w:t xml:space="preserve">http://geo.cap.ru</w:t>
              </w:r>
            </w:hyperlink>
            <w:r>
              <w:rPr>
                <w:sz w:val="24"/>
              </w:rPr>
              <w:t xml:space="preserve"> (P</w:t>
            </w:r>
            <w:r>
              <w:rPr>
                <w:sz w:val="24"/>
                <w:vertAlign w:val="subscript"/>
              </w:rPr>
              <w:t xml:space="preserve">9</w:t>
            </w:r>
            <w:r>
              <w:rPr>
                <w:sz w:val="24"/>
              </w:rPr>
              <w:t xml:space="preserve">), с весовым коэффициентом 0,05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ежеквартальная информация о вновь открытых объектах потребительского рынка, представленная администрациями муниципальных и городских округов, и сравнение ее с данными Регионального портала пространственных данных Чувашской Республики </w:t>
            </w:r>
            <w:hyperlink w:history="0" r:id="rId11">
              <w:r>
                <w:rPr>
                  <w:sz w:val="24"/>
                  <w:color w:val="0000ff"/>
                </w:rPr>
                <w:t xml:space="preserve">http://geo.cap.ru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9</w:t>
            </w:r>
            <w:r>
              <w:rPr>
                <w:sz w:val="24"/>
              </w:rPr>
              <w:t xml:space="preserve"> = К</w:t>
            </w:r>
            <w:r>
              <w:rPr>
                <w:sz w:val="24"/>
                <w:vertAlign w:val="subscript"/>
              </w:rPr>
              <w:t xml:space="preserve">зо</w:t>
            </w:r>
            <w:r>
              <w:rPr>
                <w:sz w:val="24"/>
              </w:rPr>
              <w:t xml:space="preserve"> / К</w:t>
            </w:r>
            <w:r>
              <w:rPr>
                <w:sz w:val="24"/>
                <w:vertAlign w:val="subscript"/>
              </w:rPr>
              <w:t xml:space="preserve">но</w:t>
            </w:r>
            <w:r>
              <w:rPr>
                <w:sz w:val="24"/>
              </w:rPr>
              <w:t xml:space="preserve"> x 100,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</w:t>
            </w:r>
            <w:r>
              <w:rPr>
                <w:sz w:val="24"/>
                <w:vertAlign w:val="subscript"/>
              </w:rPr>
              <w:t xml:space="preserve">зо</w:t>
            </w:r>
            <w:r>
              <w:rPr>
                <w:sz w:val="24"/>
              </w:rPr>
              <w:t xml:space="preserve"> - количество вновь открытых объектов потребительского рынка, занесенных в интерактивный торговый реестр на Региональном портале пространственных данных Чувашской Республики </w:t>
            </w:r>
            <w:hyperlink w:history="0" r:id="rId12">
              <w:r>
                <w:rPr>
                  <w:sz w:val="24"/>
                  <w:color w:val="0000ff"/>
                </w:rPr>
                <w:t xml:space="preserve">http://geo.cap.ru</w:t>
              </w:r>
            </w:hyperlink>
            <w:r>
              <w:rPr>
                <w:sz w:val="24"/>
              </w:rPr>
              <w:t xml:space="preserve">, за отчетный период, ед.;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</w:t>
            </w:r>
            <w:r>
              <w:rPr>
                <w:sz w:val="24"/>
                <w:vertAlign w:val="subscript"/>
              </w:rPr>
              <w:t xml:space="preserve">но</w:t>
            </w:r>
            <w:r>
              <w:rPr>
                <w:sz w:val="24"/>
              </w:rPr>
              <w:t xml:space="preserve"> - количество вновь открытых объектов потребительского рынка за отчетный период, ед.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Доля объема розничной продажи алкогольной продукции местного производства в общем объеме продажи алкогольной продукции (P</w:t>
            </w:r>
            <w:r>
              <w:rPr>
                <w:sz w:val="24"/>
                <w:vertAlign w:val="subscript"/>
              </w:rPr>
              <w:t xml:space="preserve">10</w:t>
            </w:r>
            <w:r>
              <w:rPr>
                <w:sz w:val="24"/>
              </w:rPr>
              <w:t xml:space="preserve">) с весовым коэффициентом 0,1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41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Минэкономразвития Чувашии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источник данных: результаты мониторинга данных информационного ресурса Федеральной службы по регулированию алкогольного рынка.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P</w:t>
            </w:r>
            <w:r>
              <w:rPr>
                <w:sz w:val="24"/>
                <w:vertAlign w:val="subscript"/>
              </w:rPr>
              <w:t xml:space="preserve">10</w:t>
            </w:r>
            <w:r>
              <w:rPr>
                <w:sz w:val="24"/>
              </w:rPr>
              <w:t xml:space="preserve"> = (ОА</w:t>
            </w:r>
            <w:r>
              <w:rPr>
                <w:sz w:val="24"/>
                <w:vertAlign w:val="subscript"/>
              </w:rPr>
              <w:t xml:space="preserve">мп</w:t>
            </w:r>
            <w:r>
              <w:rPr>
                <w:sz w:val="24"/>
              </w:rPr>
              <w:t xml:space="preserve"> / ОА</w:t>
            </w:r>
            <w:r>
              <w:rPr>
                <w:sz w:val="24"/>
                <w:vertAlign w:val="subscript"/>
              </w:rPr>
              <w:t xml:space="preserve">общ</w:t>
            </w:r>
            <w:r>
              <w:rPr>
                <w:sz w:val="24"/>
              </w:rPr>
              <w:t xml:space="preserve">) x 100,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ОА</w:t>
            </w:r>
            <w:r>
              <w:rPr>
                <w:sz w:val="24"/>
                <w:vertAlign w:val="subscript"/>
              </w:rPr>
              <w:t xml:space="preserve">мп</w:t>
            </w:r>
            <w:r>
              <w:rPr>
                <w:sz w:val="24"/>
              </w:rPr>
              <w:t xml:space="preserve"> - объем розничной продажи алкогольной продукции местного производства за отчетный период, тыс. дал;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ОА</w:t>
            </w:r>
            <w:r>
              <w:rPr>
                <w:sz w:val="24"/>
                <w:vertAlign w:val="subscript"/>
              </w:rPr>
              <w:t xml:space="preserve">общ</w:t>
            </w:r>
            <w:r>
              <w:rPr>
                <w:sz w:val="24"/>
              </w:rPr>
              <w:t xml:space="preserve"> - общий объем розничной продажи алкогольной продукции за отчетный период, тыс. дал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22.11.2023 N 738</w:t>
      </w:r>
    </w:p>
    <w:p>
      <w:pPr>
        <w:pStyle w:val="0"/>
        <w:jc w:val="right"/>
      </w:pPr>
      <w:r>
        <w:rPr>
          <w:sz w:val="24"/>
        </w:rPr>
        <w:t xml:space="preserve">(приложение N 3)</w:t>
      </w:r>
    </w:p>
    <w:p>
      <w:pPr>
        <w:pStyle w:val="0"/>
        <w:jc w:val="both"/>
      </w:pPr>
      <w:r>
        <w:rPr>
          <w:sz w:val="24"/>
        </w:rPr>
      </w:r>
    </w:p>
    <w:bookmarkStart w:id="305" w:name="P305"/>
    <w:bookmarkEnd w:id="30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КОНКУРСНОЙ КОМИССИИ ПО РАССМОТРЕНИЮ И ОЦЕНКЕ РЕЗУЛЬТАТОВ</w:t>
      </w:r>
    </w:p>
    <w:p>
      <w:pPr>
        <w:pStyle w:val="2"/>
        <w:jc w:val="center"/>
      </w:pPr>
      <w:r>
        <w:rPr>
          <w:sz w:val="24"/>
        </w:rPr>
        <w:t xml:space="preserve">ДЕЯТЕЛЬНОСТИ ОРГАНОВ МЕСТНОГО САМОУПРАВЛЕНИЯ МУНИЦИПАЛЬНЫХ</w:t>
      </w:r>
    </w:p>
    <w:p>
      <w:pPr>
        <w:pStyle w:val="2"/>
        <w:jc w:val="center"/>
      </w:pPr>
      <w:r>
        <w:rPr>
          <w:sz w:val="24"/>
        </w:rPr>
        <w:t xml:space="preserve">И ГОРОДСКИХ ОКРУГОВ ПО СОДЕЙСТВИЮ В РАСШИРЕНИИ ПРОИЗВОДСТВА</w:t>
      </w:r>
    </w:p>
    <w:p>
      <w:pPr>
        <w:pStyle w:val="2"/>
        <w:jc w:val="center"/>
      </w:pPr>
      <w:r>
        <w:rPr>
          <w:sz w:val="24"/>
        </w:rPr>
        <w:t xml:space="preserve">И ПРОДВИЖЕНИИ ПРОДУКЦИИ АГРОПРОМЫШЛЕННОГО КОМПЛЕКСА</w:t>
      </w:r>
    </w:p>
    <w:p>
      <w:pPr>
        <w:pStyle w:val="2"/>
        <w:jc w:val="center"/>
      </w:pPr>
      <w:r>
        <w:rPr>
          <w:sz w:val="24"/>
        </w:rPr>
        <w:t xml:space="preserve">И ПИЩЕВОЙ ПРОДУКЦИИ МЕСТНЫХ ПРОИЗВОДИТЕЛЕЙ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Конкурсная комиссия по рассмотрению и оценке результатов деятельности органов местного самоуправления муниципальных и городских округов по содействию в расширении производства и продвижении продукции агропромышленного комплекса и пищевой продукции местных производителей (далее - Комиссия) создается для подведения итогов по результатам оценки значений показателей, характеризующих уровень содействия органов местного самоуправления муниципальных и городских округов в расширении производства и продвижении продукции агропромышленного комплекса и пищевой продукции местных производителей (далее - показатели).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Комиссия в своей деятельности руководствуется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Российской Федерации, федеральными законами, иными нормативными правовыми актами Российской Федерации,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Чувашской Республики, законами Чувашской Республики и иными нормативными правовыми актами Чувашской Республики, а также настоящим Положением.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Функции Комиссии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Комиссия выполняет следующие функции: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осуществляет оценку значений показателей;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ежегодно определяет муниципальные округа, городские округа, достигшие наилучших значений показателей;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подводит итоги результатов оценки значений показателей;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готовит предложение по распределению средств, предусмотренных на выплату грантов Главы Чувашской Республики муниципальным округам, городским округам, которые заняли призовые места.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 и организация деятельности Комиссии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Состав Комиссии утверждается распоряжением Кабинета Министров Чувашской Республики. В состав Комиссии входят председатель Комиссии, его заместитель и секретарь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состав Комиссии включаются представители исполнительных органов Чувашской Республики, а также по согласованию представители территориальных органов федеральных органов исполнительной власти, Государственного Совета Чувашской Республики, общественных и иных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Председателем Комиссии является министр экономического развития и имущественных отношений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Заседание Комиссии проводит председатель Комиссии, а в его отсутствие - заместитель председателя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Заседание Комиссии проводится ежегодно для подведения итогов по результатам оценки значений показателей до 1 июня года, следующего за отчетным.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Министерство экономического развития и имущественных отношений Чувашской Республики обеспечивает предоставление расчетов значений показателей членам Комиссии в срок до 25 мая года, следующего за отчетным.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Заседание Комиссии считается правомочным, если в нем принимает участие не менее двух третей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Оценка значений показателей и подведение итогов по результатам их оценки производятся Комиссией в соответствии с Положением 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производителей, утвержденным постановлением Кабинета Министров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Решения Комиссии принимаются открытым голосованием простым большинством голосов присутствующих на заседании членов Комиссии и оформляются протоколом заседания Комиссии. При равенстве голосов голос председательствующего на заседании Комиссии является решающим.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Протокол заседания Комиссии оформляется ответственным секретарем Комиссии и подписывается председательствующим на заседании Комиссии в течение трех рабочих дней со дня проведения заседания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Организационно-техническое обеспечение деятельности Комиссии осуществляется Министерством экономического развития и имущественных отношений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Министерство экономического развития и имущественных отношений Чувашской Республики обеспечивает хранение и передачу в архив протоколов заседаний Комиссии.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22.11.2023 N 738</w:t>
            <w:br/>
            <w:t>(ред. от 12.03.2025)</w:t>
            <w:br/>
            <w:t>"О порядке присуждения грантов Главы Чувашс...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://geo.cap.ru" TargetMode = "External"/><Relationship Id="rId9" Type="http://schemas.openxmlformats.org/officeDocument/2006/relationships/image" Target="media/image2.wmf"/><Relationship Id="rId10" Type="http://schemas.openxmlformats.org/officeDocument/2006/relationships/hyperlink" Target="http://geo.cap.ru" TargetMode = "External"/><Relationship Id="rId11" Type="http://schemas.openxmlformats.org/officeDocument/2006/relationships/hyperlink" Target="http://geo.cap.ru" TargetMode = "External"/><Relationship Id="rId12" Type="http://schemas.openxmlformats.org/officeDocument/2006/relationships/hyperlink" Target="http://geo.cap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22.11.2023 N 738
(ред. от 12.03.2025)
"О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производителей"
(вместе с "Положением о конкурсной комиссии по рассмотрению и оценке результатов деятельности органов местного самоуправления муниципальных и городских округов по содействию в расширении производства и продв</dc:title>
  <dcterms:created xsi:type="dcterms:W3CDTF">2026-04-20T13:48:36Z</dcterms:created>
</cp:coreProperties>
</file>