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nsPlusNormal"/>
        <w:autoSpaceDE w:val="false"/>
        <w:bidi w:val="0"/>
        <w:ind w:left="0" w:right="0" w:hanging="0"/>
        <w:jc w:val="left"/>
        <w:rPr/>
      </w:pPr>
      <w:r>
        <w:rPr>
          <w:rFonts w:eastAsia="Tahoma" w:cs="Tahoma" w:ascii="Tahoma" w:hAnsi="Tahoma"/>
          <w:b w:val="false"/>
          <w:bCs w:val="false"/>
          <w:i w:val="false"/>
          <w:iCs w:val="false"/>
          <w:strike w:val="false"/>
          <w:dstrike w:val="false"/>
          <w:position w:val="0"/>
          <w:sz w:val="20"/>
          <w:sz w:val="20"/>
          <w:szCs w:val="20"/>
          <w:u w:val="none"/>
          <w:vertAlign w:val="baseline"/>
        </w:rPr>
        <w:t xml:space="preserve">Документ предоставлен </w:t>
      </w:r>
      <w:hyperlink r:id="rId2">
        <w:r>
          <w:rPr>
            <w:rFonts w:eastAsia="Tahoma" w:cs="Tahoma" w:ascii="Tahoma" w:hAnsi="Tahoma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0"/>
            <w:sz w:val="20"/>
            <w:szCs w:val="20"/>
            <w:u w:val="none"/>
            <w:vertAlign w:val="baseline"/>
          </w:rPr>
          <w:t>КонсультантПлюс</w:t>
        </w:r>
      </w:hyperlink>
      <w:r>
        <w:rPr>
          <w:rFonts w:eastAsia="Tahoma" w:cs="Tahoma" w:ascii="Tahoma" w:hAnsi="Tahoma"/>
          <w:b w:val="false"/>
          <w:bCs w:val="false"/>
          <w:i w:val="false"/>
          <w:iCs w:val="false"/>
          <w:strike w:val="false"/>
          <w:dstrike w:val="false"/>
          <w:position w:val="0"/>
          <w:sz w:val="20"/>
          <w:sz w:val="20"/>
          <w:szCs w:val="20"/>
          <w:u w:val="none"/>
          <w:vertAlign w:val="baseline"/>
        </w:rPr>
        <w:br/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КАБИНЕТ МИНИСТРОВ ЧУВАШСКОЙ РЕСПУБЛИКИ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ПОСТАНОВЛЕНИЕ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от 26 мая 2006 г. N 139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ОБ УТВЕРЖДЕНИИ ПРАВИЛ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ОХРАНЫ ЖИЗНИ ЛЮДЕЙ НА ВОДНЫХ ОБЪЕКТАХ В ЧУВАШСКОЙ РЕСПУБЛИКЕ</w:t>
      </w:r>
    </w:p>
    <w:p>
      <w:pPr>
        <w:pStyle w:val="ConsPlusNormal"/>
        <w:autoSpaceDE w:val="false"/>
        <w:bidi w:val="0"/>
        <w:jc w:val="left"/>
        <w:rPr/>
      </w:pPr>
      <w:r>
        <w:rPr/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3"/>
        <w:gridCol w:w="9352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9352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Список изменяющих документов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(в ред. Постановлений Кабинета Министров ЧР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22.04.2009 </w:t>
            </w:r>
            <w:hyperlink r:id="rId3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132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12.08.2010 </w:t>
            </w:r>
            <w:hyperlink r:id="rId4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257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27.07.2016 </w:t>
            </w:r>
            <w:hyperlink r:id="rId5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299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27.08.2018 </w:t>
            </w:r>
            <w:hyperlink r:id="rId6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338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25.12.2019 </w:t>
            </w:r>
            <w:hyperlink r:id="rId7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584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08.04.2020 </w:t>
            </w:r>
            <w:hyperlink r:id="rId8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160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21.10.2021 </w:t>
            </w:r>
            <w:hyperlink r:id="rId9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519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16.11.2021 </w:t>
            </w:r>
            <w:hyperlink r:id="rId10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578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14.12.2021 </w:t>
            </w:r>
            <w:hyperlink r:id="rId11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661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10.07.2026 </w:t>
            </w:r>
            <w:hyperlink r:id="rId12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445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Кабинет Министров Чувашской Республики постановляет: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1. Утвердить прилагаемые </w:t>
      </w:r>
      <w:hyperlink w:anchor="Par4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Правила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охраны жизни людей на водных объектах в Чувашской Республике (далее - Правила).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1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1.1. Рекомендовать органам местного самоуправления в Чувашской Республике: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а) ежегодно до 1 марта утверждать: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план обеспечения безопасности людей на водных объектах на территории муниципального образования, включающий мероприятия по подготовке мест отдыха населения на водных объектах и порядок привлечения сил и средств при угрозе и возникновении чрезвычайных ситуаций на акваториях, с доведением его до всех организаций, имеющих спасательные силы и средства;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1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по согласованию с территориальными органами Министерства внутренних дел Российской Федерации на районом уровне, подчиненными Министерству внутренних дел по Чувашской Республике - порядок привлечения сил и средств на охрану общественного порядка в местах отдыха населения на водных объектах;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1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10.07.2026 N 445)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б) ежегодно до 31 мая организовывать работу комиссий по приемке пляжей и других мест отдыха населения на водных объектах;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1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в) при разработке проектов местных бюджетов предусматривать средства для финансирования мероприятий по охране жизни людей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1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1.1 введен </w:t>
      </w:r>
      <w:hyperlink r:id="rId1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12.08.2010 N 257)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 Контроль за выполнением настоящего постановления возложить на Министерство Чувашской Республики по делам гражданской обороны и чрезвычайным ситуациям.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Постановлений Кабинета Министров ЧР от 25.12.2019 </w:t>
      </w:r>
      <w:hyperlink r:id="rId1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N 584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, от 08.04.2020 </w:t>
      </w:r>
      <w:hyperlink r:id="rId2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N 160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, от 10.07.2026 </w:t>
      </w:r>
      <w:hyperlink r:id="rId2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N 445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3. Настоящее постановление вступает в силу через десять дней после дня его официального опубликования.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Председатель Кабинета Министров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Чувашской Республики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С.ГАПЛИКОВ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Утверждены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постановлением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Кабинета Министров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Чувашской Республики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от 26.05.2006 N 139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bookmarkStart w:id="0" w:name="Par47"/>
      <w:bookmarkEnd w:id="0"/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ПРАВИЛА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ОХРАНЫ ЖИЗНИ ЛЮДЕЙ НА ВОДНЫХ ОБЪЕКТАХ В ЧУВАШСКОЙ РЕСПУБЛИКЕ</w:t>
      </w:r>
    </w:p>
    <w:p>
      <w:pPr>
        <w:pStyle w:val="ConsPlusNormal"/>
        <w:autoSpaceDE w:val="false"/>
        <w:bidi w:val="0"/>
        <w:jc w:val="left"/>
        <w:rPr/>
      </w:pPr>
      <w:r>
        <w:rPr/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3"/>
        <w:gridCol w:w="9352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9352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Список изменяющих документов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(в ред. Постановлений Кабинета Министров ЧР от 22.04.2009 </w:t>
            </w:r>
            <w:hyperlink r:id="rId22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132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27.07.2016 </w:t>
            </w:r>
            <w:hyperlink r:id="rId23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299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27.08.2018 </w:t>
            </w:r>
            <w:hyperlink r:id="rId24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338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25.12.2019 </w:t>
            </w:r>
            <w:hyperlink r:id="rId25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584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21.10.2021 </w:t>
            </w:r>
            <w:hyperlink r:id="rId26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519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16.11.2021 </w:t>
            </w:r>
            <w:hyperlink r:id="rId27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578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, от 14.12.2021 </w:t>
            </w:r>
            <w:hyperlink r:id="rId28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661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,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от 10.07.2026 </w:t>
            </w:r>
            <w:hyperlink r:id="rId29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N 445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I. Общие положения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1.1. Настоящие Правила, разработанные в соответствии с нормативными правовыми актами Российской Федерации, регламентирующими обеспечение безопасности людей на водных объектах, устанавливают условия и требования, предъявляемые к обеспечению безопасности людей на пляжах, в купальнях и других организованных местах купания (далее - пляж), местах туризма, спорта и массового отдыха населения на водных объектах (далее - места массового отдыха), и являются обязательными для выполнения всеми юридическими и физическими лицами на территории Чувашской Республики.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Постановлений Кабинета Министров ЧР от 27.07.2016 </w:t>
      </w:r>
      <w:hyperlink r:id="rId3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N 299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, от 10.07.2026 </w:t>
      </w:r>
      <w:hyperlink r:id="rId3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N 445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1.2. В соответствии с Водным </w:t>
      </w:r>
      <w:hyperlink r:id="rId32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кодексом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Российской Федерации водные объекты используются для отдыха, туризма, спорта с учетом правил использования водных объектов, устанавливаемых органами местного самоуправления.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1.2 в ред. </w:t>
      </w:r>
      <w:hyperlink r:id="rId3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1.3. В соответствии с законодательством Российской Федерации организации несут ответственность за состояние безопасности жизни людей на закрепленных за ними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3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1.4. В соответствии с законодательством Российской Федерации для определения готовности пляжей к эксплуатации проводится их ежегодное техническое освидетельствование.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1.5. Лица, нарушившие требования настоящих Правил, несут ответственность в соответствии с законодательством Российской Федерации и законодательством Чувашской Республики.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3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II. Требования к пляжам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2.1. Береговая территория пляжа должна соответствовать санитарным и противопожарным нормам и правилам, требованиям природоохранного законодательства и иметь ограждение.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2.2. На период купального сезона водопользователи (владельцы пляжей) назначают административный персонал пляжа, ответственный за обеспечение безопасности жизни людей на водных объектах, разрабатывают правила поведения для посетителей пляжей и вывешивают их для всеобщего обозрения, организуют развертывание спасательных постов с необходимыми плавательными средствами, санитарной сумкой с укладкой для оказания первой помощи, снаряжением и обеспечивают работу указанных постов для предупреждения несчастных случаев и оказания помощи терпящим бедствие на водных объектах. </w:t>
      </w:r>
      <w:hyperlink w:anchor="Par31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Перечень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имущества, необходимого для обеспечения деятельности спасательного поста, определен в приложении к настоящим Правилам.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2.2 в ред. </w:t>
      </w:r>
      <w:hyperlink r:id="rId3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2.3. Дежурная смена спасательного поста должна состоять не менее чем из 3 спасателей.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Спасатели должны быть аттестованы и иметь допуск к спасательным работам в соответствии с законодательством Российской Федерации.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3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2.4. Контроль за работой спасательных постов возлагается на владельцев пляжей.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2.5. Пляжи располагаются на расстоянии не менее 500 метров выше по течению от мест спуска сточных вод, не менее 250 метров выше и 1000 метров ниже портовых, гидротехнических сооружений, пристаней, причалов, пирсов, дебаркадеров, нефтеналивных приспособлений.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 местах, отведенных для купания, и на расстоянии не менее 500 метров выше от них по течению запрещаются стирка белья и купание животных.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2.6. До начала купального сезона водопользователями, в чьем ведении находится соответствующий пляж, в обязательном порядке обеспечивается проведение водолазного обследования и очистки дна акватории пляжа на глубинах до 2 метров в границах заплыва.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2.7. Площадь водной поверхности в месте купания в проточном водном объекте должна составлять не менее 5 кв. метров на одного купающегося, а в непроточном водном объекте - не менее 10 кв. метров. На каждого человека должно приходиться не менее 2 кв. метров площади береговой территории пляжа, в купальнях - не менее 3 кв. метров.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3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2.8. В местах, отведенных для купания, не должно быть выхода грунтовых вод, водоворота, воронок и течения, превышающего 0,5 метра в секунду.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2.9. Границы плавания в местах купания обозначаются буйками оранжевого цвета, расположенными на расстоянии 25 - 30 метров один от другого и до 25 метров от мест с глубиной 1,3 метра.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2.10. На пляжах отводятся участки акватории для купания детей и не умеющих плавать с глубинами не более 1,2 метра. Участки обозначаются линией поплавков, закрепленных на тросах, или ограждаются штакетным забором.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2.11. Пляжи обеспечиваются в достаточном количестве лежаками, тентами, зонтами для защиты от солнца, оборудуются стендами с извлечениями из настоящих Правил, материалами по профилактике несчастных случаев на водных объектах, данными о температуре воды и воздуха, схемой акватории пляжа с указанием глубин и опасных участков.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3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2.12. Плавучие понтоны, ограждающие акваторию купальни, надежно закрепляются и соединяются с берегом мостиками или трапами, а сходы в воду должны иметь перила.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2.13. На выступающей за береговую черту в сторону судового хода части купальни с наступлением темноты при длине купальни до 50 метров зажигается белый огонь кругового освещения, ясно видимый со стороны судового хода, на высоте 2 метров над настилом, а при длине купальни 50 метров и более - белые круговые огни через каждые 50 метров.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2.14. При отсутствии естественных участков акватории с приглубыми берегами до мест с глубинами, обеспечивающими безопасность при нырянии, устанавливаются деревянные мостки или плоты для прыжков в воду, имеющие сплошной настил.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2.15. На территории пляжа на период купального сезона владельцы пляжей организуют развертывание спасательных постов с необходимыми плавательными средствами, оборудованием и снаряжением, обеспечивают дежурство спасателей для предупреждения несчастных случаев с людьми и оказания помощи терпящим бедствие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2.15 в ред. </w:t>
      </w:r>
      <w:hyperlink r:id="rId4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2.16. Пляжи должны быть радиофицированы, иметь телефонную связь, а также помещения для оказания пострадавшим первой и медицинской помощи.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4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2.17. Пляжи оборудуются санузлами, кабинками для переодевания, фонтанчиками с питьевой водой.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2.18. Пляжи оборудуются урнами для мусора, установленными около ограждения пляжа на расстоянии не более 50 метров друг от друга, а также около кабинок для переодевания и других сооружений пляжа. Урны ежедневно очищаются. Собранные отходы помещаются в контейнеры, оборудованные крышками, и затем вывозятся специализированным автотранспортом на объекты размещения отходов. Контейнеры устанавливаются в хозяйственной зоне пляжа на площадке с водонепроницаемым покрытием и ограждением с трех сторон.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2.18 введен </w:t>
      </w:r>
      <w:hyperlink r:id="rId42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2.19. На пляжах обустраиваются туалеты. При отсутствии водопровода и канализации - с герметичным выгребом или биотуалеты. Очистка выгребов производится при заполнении нечистотами 2/3 объема выгреба.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2.19 введен </w:t>
      </w:r>
      <w:hyperlink r:id="rId4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2.20. В пределах территории пляжа, места массового отдыха должны быть созданы условия для соблюдения запрета курения табака, предусмотренные </w:t>
      </w:r>
      <w:hyperlink r:id="rId4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статьей 12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Федерального закона от 23 февраля 2013 г. N 15-ФЗ "Об охране здоровья граждан от воздействия окружающего табачного дыма и последствий потребления табака".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Для предотвращения воздействия окружающего табачного дыма на здоровье человека запрещается курение табака в границах территорий, занятых пляжами.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2.20 введен </w:t>
      </w:r>
      <w:hyperlink r:id="rId4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III. Меры по обеспечению безопасности населения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на пляжах и в местах массового отдыха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3.1. Спасатели, водопользователи (владельцы пляжей) должны систематически проводить на пляжах и в местах массового отдыха разъяснительную работу по предупреждению несчастных случаев на водных объектах с использованием радиотрансляционных установок, магнитофонов, мегафонов, стендов, фотовитрин с информационными материалами и т.д.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4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3.2. Каждый гражданин обязан оказывать посильную помощь людям, терпящим бедствие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4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3.3. На пляжах и в местах массового отдыха запрещается: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купаться в местах, где выставлены щиты (аншлаги) с запрещающими знаками и надписями;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4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21.10.2021 N 519)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заплывать за буйки, обозначающие границы плавания;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подплывать к моторным, парусным судам, весельным лодкам и другим плавательным средствам;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прыгать в воду с катеров, лодок, причалов, а также сооружений, не приспособленных для этих целей;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загрязнять и засорять водные объекты;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4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купаться в состоянии алкогольного опьянения;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приводить с собой и купать собак и других животных;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оставлять мусор на берегу и в кабинках для переодевания;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играть с мячом и в спортивные игры в не отведенных для этих целей местах, а также допускать в воде шалости, связанные с нырянием и захватом купающихся, подавать сигналы ложной тревоги;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плавать на досках, бревнах, лежаках, автомобильных камерах, надувных матрацах и других не приспособленных для плавания средствах (предметах);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заправка топливом, мойка и ремонт автомобилей и других машин и механизмов, размещение стоянок транспортных средств.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3.4. Обучение плаванию должно проводиться в специально отведенных местах пляжа, оборудованных стендами с расписанием занятий, учебными плакатами по методике обучения и технике плавания. Ответственность за безопасность обучаемых людей несет проводящий обучение или тренировку преподаватель (инструктор, тренер, воспитатель), обученный приемам оказания первой помощи пострадавшим на воде.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3.4 в ред. </w:t>
      </w:r>
      <w:hyperlink r:id="rId5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IV. Меры обеспечения безопасности детей на водных объектах</w:t>
      </w:r>
    </w:p>
    <w:p>
      <w:pPr>
        <w:pStyle w:val="ConsPlusNormal"/>
        <w:autoSpaceDE w:val="false"/>
        <w:bidi w:val="0"/>
        <w:ind w:left="0" w:right="0" w:hanging="0"/>
        <w:jc w:val="center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 Безопасность детей на водных объектах обеспечивается выбором и оборудованием места купания, систематической разъяснительной работой с детьми о правилах поведения на водных объектах и соблюдением мер предосторожности.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2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4.2. Не допускается купание детей в неустановленных местах, плавание на не приспособленных для этого средствах (предметах) и другие нарушения правил безопасности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4.3. В организациях отдыха детей и их оздоровления, расположенных у водных объектов, участки для купания детей необходимо выбирать с пологим песчаным берегом.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Дно участка должно быть свободно от водных растений, коряг, камней, стекол, других предметов и иметь постепенный уклон до глубины 2 метров, без ям, уступов.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Перед открытием купального сезона в организации отдыха детей и их оздоровления дно акватории должно быть обследовано водолазами и очищено от опасных предметов.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4.4. На пляжах организации отдыха детей и их оздоровления оборудуются участки для обучения плаванию детей дошкольного и младшего школьного возраста с глубинами не более 0,7 метра, а также для детей старшего школьного возраста с глубинами не более 1,2 метра. Участки ограждаются забором или обносятся линией поплавков, закрепленных на тросах.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 местах с глубинами до 2 метров разрешается купаться детям в возрасте от 12 лет, умеющим хорошо плавать. Эти места ограждаются буйками, расположенными на расстоянии 25 - 30 метров один от другого.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4.5. Пляж организации отдыха детей и их оздоровления должен отвечать установленным санитарным требованиям, быть благоустроенным, огражденным штакетным забором со стороны береговой территории.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4.6. На пляжах организации отдыха детей и их оздоровления на расстоянии 3 метров от уреза воды через каждые 25 метров устанавливаются стойки с вывешенными на них спасательными кругами и "концом Александрова".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4.7. На территории организации отдыха детей и их оздоровления оборудуется стенд с извлечениями из настоящих Правил, материалами по профилактике несчастных случаев, данными о температуре воды и воздуха, силе и направлений ветра.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5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4.8. Во время купания детей на территории пляжа оборудуются помещения для оказания пострадавшим первой и медицинской помощи, устанавливаются грибки и навесы для защиты от солнца.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4.9. Купание детей разрешается группами не более 10 человек и продолжительностью не свыше 10 минут.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4.10. Ответственность за безопасность детей во время купания и методическое руководство возлагаются на инструктора по плаванию. Запрещается эксплуатация пляжей организаций отдыха детей и их оздоровления, не имеющих в своих штатах инструкторов по плаванию.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Купание детей, не умеющих плавать, проводится отдельно от детей, умеющих плавать.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4.11. Перед началом купания детей проводится подготовка пляжа: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границы участка, отведенного для купания отряда (группы), обозначаются вдоль береговой черты флажками;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на щитах развешиваются спасательные круги, "концы Александрова" и другой спасательный инвентарь;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спасательная лодка со спасателем выходит на внешнюю сторону границы плавания и удерживается в 2 метрах от нее.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4.12. По окончании подготовки пляжа дети группами выводятся на свои участки купания и проходят инструктаж по правилам поведения на водных объектах.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Купание детей должно вестись под непрерывным наблюдением инструкторов по плаванию, спасателей, дежурных воспитателей и медицинских работников, имеющих при себе санитарную сумку с укладкой для оказания первой помощи.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4.12 в ред. </w:t>
      </w:r>
      <w:hyperlink r:id="rId62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4.13. Детям запрещается нырять с перил, мостиков, заплывать за границу плавания.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4.14. Во время купания детей на участке запрещается: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купание и нахождение посторонних лиц;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катание на лодках и катерах;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проведение игр и спортивных мероприятий.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4.15. Для проведения уроков по плаванию на берегу ограждается и соответствующим образом оборудуется площадка, примыкающая к водному объекту.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На площадке должны быть плавательные доски и резиновые круги для каждого ребенка; 2 - 3 шеста, применяемые для поддержки не умеющих плавать, плавательные поддерживающие пояса; 3 - 4 ватерпольных мяча; 2 - 3 электромегафона; доска расписания занятий с учебными плакатами по методике обучения и технике плавания.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4.16. Для купания детей во время походов, прогулок, экскурсий выбирается неглубокое место с пологим и чистым от свай, коряг, острых камней, стекла, водорослей и ила дном. Инструкторами по плаванию проводится обследование места купания и осуществляется наблюдение за купанием детей.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IV.1. Меры обеспечения безопасности людей при плавании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с использованием сапбордов, парусно-парашютных средств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(доски для кайтбординга, виндсерфинга и тому подобное)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и других средств активного отдыха на водных объектах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(введен </w:t>
      </w:r>
      <w:hyperlink r:id="rId6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Постановлением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от 10.07.2026 N 445)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4.1.1. Плавание на водных объектах с использованием сапбордов, парусно-парашютных средств (доски для кайтбординга, виндсерфинга и тому подобное) и других средств активного отдыха на водных объектах (далее - плавательные средства) разрешается с соблюдением требований, установленных настоящими Правилами.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4.1.2. Плавание на водных объектах на плавательных средствах разрешается после окончания ледохода (очистки водного объекта ото льда) до начала ледостава.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4.1.3. К самостоятельному управлению плавательными средствами на водных объектах допускаются лица с 16 лет и старше. Лицам в возрасте от 7 до 16 лет разрешается управлять плавательными средствами на водных объектах только в сопровождении совершеннолетних лиц. Дети в возрасте младше 7 лет к плаванию на плавательных средствах на водных объектах не допускаются.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4.1.4. Лица, осуществляющие плавание на плавательных средствах на водных объектах, должны быть одеты в индивидуальные спасательные средства (спасательные жилеты), которые должны соответствовать размеру и массе лиц, их использующих, при применении должны быть застегнуты и обеспечивать закрепление на теле пользователя, исключающее самопроизвольное снятие при падении в воду.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4.1.5. При плавании на плавательных средствах на водных объектах запрещается: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bookmarkStart w:id="1" w:name="Par184"/>
      <w:bookmarkEnd w:id="1"/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1) отплывать от берега на расстояние более 200 метров;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bookmarkStart w:id="2" w:name="Par185"/>
      <w:bookmarkEnd w:id="2"/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2) плавать при высоте волны однопроцентной обеспеченностью более 0,25 метра;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3) двигаться в тумане или в других неблагоприятных метеоусловиях при ограниченной (менее 1 километра) видимости;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4) эксплуатировать плавательные средства на водных объектах в темное время суток (астрономическое, с захода до восхода солнца);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5) двигаться в границах акваторий портов, баз-стоянок, зон купания пляжей, около судов, занятых водолазными работами, в зоне работающих дноуглубительных, дноочистительных и землесосных снарядов;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6) останавливаться в пределах судового хода, у плавучих навигационных знаков, грузовых и пассажирских причалов;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7) осуществлять пересадку людей с одного плавательного средства на другое во время движения;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8) использовать неисправные плавательные средства на водных объектах, а также плавательные средства в отсутствие весла, страховочного троса, индивидуального спасательного средства (спасательные жилеты);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9) управлять плавательными средствами на водных объектах в состоянии опьянения;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10) выбрасывать мусор, допускать загрязнение водных объектов.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4.1.6. Требования </w:t>
      </w:r>
      <w:hyperlink w:anchor="Par18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подпунктов 1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, </w:t>
      </w:r>
      <w:hyperlink w:anchor="Par18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2 пункта 4.1.5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настоящих Правил не распространяются на официальные физкультурные мероприятия и спортивные мероприятия, проводимые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V. Меры безопасности при пользовании паромными переправами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и наплавными мостами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Утратил силу. - </w:t>
      </w:r>
      <w:hyperlink r:id="rId6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Постановление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299.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VI. Меры безопасности на льду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6.1. При переходе водного объекта по льду необходимо пользоваться оборудованными ледовыми переправами или проложенными тропами. При их отсутствии необходимо определить маршрут движения и убедиться в прочности льда подготовленными (пешнями) или подручными средствами (шестом, лыжной палкой и т.д.). Если лед непрочен, необходимо прекратить движение и возвращаться по пройденному маршруту, осуществляя движение, не отрывая ног от поверхности льда.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Категорически запрещается проверять прочность льда ударами ноги, прыгать и бегать по льду.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6.2. Во время движения по льду следует обращать внимание на его поверхность, обходить опасные места и участки, покрытые толстым слоем снега, с быстрым течением, родниками, выступающей на поверхность растительностью, впадающими в водный объект ручьями и вливающимися теплыми сточными водами промышленных предприятий, и т.д., проявляя осторожность в местах заготовки льда.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Безопасным для перехода является лед с зеленоватым оттенком и толщиной не менее 7 сантиметров.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6.3. При движении группы людей по льду необходимо следовать друг за другом на расстоянии 5 - 6 метров и быть готовым оказать немедленную помощь идущему впереди.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Перевозка малогабаритных, но тяжелых грузов производится на санях или других приспособлениях с возможно большей площадью опоры на поверхность льда.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6.4. Пользоваться на водных объектах площадками для катания на коньках разрешается только после тщательной проверки прочности льда, толщина которого должна быть не менее 12 см, а при массовом катании - не менее 25 сантиметров.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6.5. При переходе водного объекта по льду на лыжах рекомендуется пользоваться проложенной лыжней, а при ее отсутствии, прежде чем двигаться по целине, следует отстегнуть крепления лыж и снять петли лыжных палок с кистей рук. Если имеется рюкзак или ранец, необходимо взять его на одно плечо.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6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Расстояние между лыжниками должно быть не менее 5 - 6 метров. Во время движения по льду лыжник, идущий первым, ударами палок проверяет прочность льда и следит за его состоянием.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6.6. Во время рыбной ловли нельзя пробивать много лунок на ограниченной площади, прыгать и бегать по льду, собираться большими группами.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Каждому рыболову рекомендуется иметь с собой спасательное средство в виде шнура длиной 12 - 15 метров, на одном конце которого должен быть закреплен груз массой 400 - 500 граммов, на другом - изготовлена петля.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6.7. Запрещается движение по льду водных объектов и (или) стоянка на льду водных объектов транспортных средств вне ледовых переправ, оборудованных в соответствии с настоящими Правилами, за исключением служебных транспортных средств аварийно-спасательных и поисково-спасательных служб, используемых для целей обеспечения безопасности жизни и здоровья людей, средств передвижения по льду (судна на воздушной подушке, аэросани, аэроботы, снегоходы).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(п. 6.7 в ред. </w:t>
      </w:r>
      <w:hyperlink r:id="rId70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14.12.2021 N 661)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VII. Меры безопасности при пользовании ледовыми переправами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7.1. Режим работы ледовых переправ определяется эксплуатирующими организациями в порядке, установленном законодательством Российской Федерации.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1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7.2. Места, отведенные для переправ, должны соответствовать следующим условиям: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дороги и спуски, ведущие к переправам, должны быть благоустроены;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 районе переправы (слева и справа от нее на расстоянии 100 метров) не должно быть сброса теплых и выхода грунтовых вод, а также промоин, майн и площадок для выколки льда;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трассы автогужевых переправ должны иметь одностороннее движение. Для встречного движения должна быть проложена самостоятельная трасса параллельно первой, удаленная от нее на расстояние не менее 40 - 50 метров.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7.3. На переправах категорически запрещается: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пробивать лунки для рыбной ловли и других целей;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переход и проезд в неогражденных и неохраняемых местах;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загрязнять лед отходами производства и потребления.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2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7.4. Порядок движения транспорта и нормы перевозки груза и пассажиров устанавливаются владельцами переправы с учетом ледового прогноза и показателей таблицы максимальной нагрузки на лед, составленной в соответствии с законодательством Российской Федерации федеральным органом исполнительной власти в области гидрометеорологии и мониторинга окружающей среды.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7.5. Оборудование и содержание переправ: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у подъезда к переправе выставляется специальный щит, на котором помещается информация о том, какому виду транспорта и с каким максимальным грузом разрешается проезд по данной переправе, какой интервал движения и какую скорость необходимо соблюдать, а также извлечения из настоящих Правил;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ежедневно утром и вечером, а в оттепель и днем производится замер толщины льда и определяется его структура. Замер толщины льда производится по всей трассе и особенно в местах, где больше скорость течения и глубина водного объекта;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3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во избежание утепления льда и уменьшения грузоподъемности ледовой переправы регулярно производится расчистка проезжей части от снега;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граница места, отведенного для переправы, обозначается через каждые 20 - 30 метров ограничительными маркировочными вехами;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 опасных для движения местах выставляются предупредительные знаки.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7.6. На обоих берегах водного объекта у спуска на автогужевую ледовую переправу оборудуются площадки для стоянки транспортных средств, устанавливаются ящики для сбора мусора, выставляются щиты с надписью "Подать утопающему" и с навешенными на них спасательными кругами, страховочным канатом длиной 10 - 12 метров. Рядом со щитами должны быть спасательные доски, багор, шест, лестница, бревно длиной 5 - 6 метров и диаметром 10 - 12 см, используемые для оказания помощи людям при проломе льда.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4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7.7. В период интенсивного движения автотранспорта на переправах должны быть развернуты передвижные пункты обогрева людей, дежурить тягачи с такелажем для возможной эвакуации с рабочей полосы неисправных транспортных средств.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7.8. Для обеспечения безопасности людей на переправе выставляется ведомственный спасательный пост, укомплектованный спасателями, владеющими приемами оказания помощи терпящим бедствие на льду. В соответствии с законодательством Российской Федерации у автогужевых ледовых переправ в период интенсивного движения автотранспорта выставляется временный пост с сотрудниками Управления Государственной инспекции безопасности дорожного движения Министерства внутренних дел по Чувашской Республике.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5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VIII. Меры безопасности при производстве работ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по выемке грунта и выколке льда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8.1. Производство работ по выемке грунта вблизи рек, озер и других водных объектов, особенно в местах купания детей, согласовывается в соответствии с законодательством Российской Федерации.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6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8.2. Организации при производстве работ по выемке грунта и торфа, углублению дна водных объектов в местах массового отдыха населения обязаны ограждать опасные участки, а после окончания работ - выравнивать дно.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7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8.3. Ответственность за обеспечение безопасности жизни людей в котлованах, карьерах, затопленных водой, до окончания работ возлагается на организацию, проводящую выемку грунта.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8.4. По окончании выемки грунта в котлованах, карьерах, затопленных водой, производится выравнивание дна от береговой черты до глубины 1,7 метра.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Организации, проводившие земляные работы в местах массового отдыха населения, обязаны засыпать котлованы.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8.5. Организации при производстве работ по заготовке льда обязаны ограждать участки, на которых ведутся работы, а также участки, представляющие опасность для людей.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IX. Знаки безопасности на водных объектах</w:t>
      </w:r>
    </w:p>
    <w:p>
      <w:pPr>
        <w:pStyle w:val="ConsPlusNormal"/>
        <w:autoSpaceDE w:val="false"/>
        <w:bidi w:val="0"/>
        <w:ind w:left="0" w:right="0" w:hanging="0"/>
        <w:jc w:val="center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8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от 27.07.2016 N 299)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9.1. Знаки безопасности на водных объектах устанавливаются владельцами пляжей, переправ, баз (сооружений) для стоянок судов и другими водопользователями в целях обеспечения безопасности людей на водных объектах.</w:t>
      </w:r>
    </w:p>
    <w:p>
      <w:pPr>
        <w:pStyle w:val="ConsPlusNormal"/>
        <w:autoSpaceDE w:val="false"/>
        <w:bidi w:val="0"/>
        <w:ind w:left="0" w:right="0" w:hanging="0"/>
        <w:jc w:val="both"/>
        <w:rPr/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(в ред. </w:t>
      </w:r>
      <w:hyperlink r:id="rId79">
        <w:r>
          <w:rPr>
            <w:rFonts w:eastAsia="Times New Roman" w:cs="Times New Roman"/>
            <w:b w:val="false"/>
            <w:bCs w:val="false"/>
            <w:i w:val="false"/>
            <w:iCs w:val="false"/>
            <w:strike w:val="false"/>
            <w:dstrike w:val="false"/>
            <w:color w:val="0000FF"/>
            <w:position w:val="0"/>
            <w:sz w:val="24"/>
            <w:sz w:val="24"/>
            <w:szCs w:val="24"/>
            <w:u w:val="none"/>
            <w:vertAlign w:val="baseline"/>
          </w:rPr>
          <w:t>Постановления</w:t>
        </w:r>
      </w:hyperlink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 xml:space="preserve"> Кабинета Министров ЧР от 27.07.2016 N 299)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9.2. Знаки имеют форму прямоугольника с размерами сторон не менее 50 - 60 см и изготавливаются из досок, толстой фанеры, металлических листов или другого прочного материала.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9.3. Знаки устанавливаются на видных местах и укрепляются на столбах (деревянных, металлических, железобетонных и т.п.) высотой не менее 2,5 метра.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9.4. Надписи на знаках делаются черной или белой краской.</w:t>
      </w:r>
    </w:p>
    <w:p>
      <w:pPr>
        <w:pStyle w:val="ConsPlusNormal"/>
        <w:autoSpaceDE w:val="false"/>
        <w:bidi w:val="0"/>
        <w:spacing w:before="240" w:after="0"/>
        <w:ind w:left="0" w:right="0" w:firstLine="54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9.5. Характеристика знаков: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tbl>
      <w:tblPr>
        <w:tblW w:w="9071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3402"/>
        <w:gridCol w:w="5102"/>
      </w:tblGrid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N п/п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Надпись на знаке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Описание знака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2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3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Место купания (с указанием границ в метрах)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 зеленой рамке. Надпись сверху. Ниже изображен плывущий человек. Знак укрепляется на столбе белого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2.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Место купания детей (с указанием границ в метрах)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 зеленой рамке. Надпись сверху. Ниже изображены двое детей, стоящих в воде. Знак укрепляется на столбе белого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3.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Место купания животных (с указанием границ в метрах)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 зеленой рамке. Надпись сверху. Ниже изображена плывущая собака. Знак укрепляется на столбе белого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4.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Купаться запрещено! (с указанием границ в метрах)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 красной рамке, перечеркнутой красной чертой по диагонали с верхнего левого угла. Надпись сверху. Ниже изображен плывущий человек. Знак укреплен на столбе красного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5.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Переход (переезд) по льду разрешен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Весь покрашен в зеленый цвет. Надпись посередине. Знак укрепляется на столбе белого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6.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Переход (переезд) по льду запрещен!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Весь покрашен в красный цвет. Надпись посередине. Знак укрепляется на столбе красного цвета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7.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Не создавать волнение!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Внутри красной окружности на белом фоне две волны черного цвета, перечеркнутые красной линией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8.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Движение маломерных судов запрещено!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Внутри красной окружности на белом фоне лодка с подвесным мотором черного цвета, перечеркнутая красной линией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9.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Якоря не бросать!</w:t>
            </w:r>
          </w:p>
        </w:tc>
        <w:tc>
          <w:tcPr>
            <w:tcW w:w="5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Внутри красной окружности на белом фоне якорь черного цвета, перечеркнутый красной линией</w:t>
            </w:r>
          </w:p>
        </w:tc>
      </w:tr>
    </w:tbl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Приложение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к Правилам охраны жизни людей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на водных объектах</w:t>
      </w:r>
    </w:p>
    <w:p>
      <w:pPr>
        <w:pStyle w:val="ConsPlusNormal"/>
        <w:autoSpaceDE w:val="false"/>
        <w:bidi w:val="0"/>
        <w:ind w:left="0" w:right="0" w:hanging="0"/>
        <w:jc w:val="right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в Чувашской Республике</w:t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bookmarkStart w:id="3" w:name="Par314"/>
      <w:bookmarkEnd w:id="3"/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ПЕРЕЧЕНЬ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ИМУЩЕСТВА, НЕОБХОДИМОГО ДЛЯ ОБЕСПЕЧЕНИЯ ДЕЯТЕЛЬНОСТИ</w:t>
      </w:r>
    </w:p>
    <w:p>
      <w:pPr>
        <w:pStyle w:val="ConsPlusNormal"/>
        <w:autoSpaceDE w:val="false"/>
        <w:bidi w:val="0"/>
        <w:ind w:left="0" w:right="0" w:hanging="0"/>
        <w:jc w:val="center"/>
        <w:rPr>
          <w:rFonts w:ascii="Times New Roman" w:hAnsi="Times New Roman" w:eastAsia="Times New Roman" w:cs="Times New Roman"/>
          <w:b/>
          <w:b/>
          <w:bCs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bCs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  <w:t>СПАСАТЕЛЬНОГО ПОСТА</w:t>
      </w:r>
    </w:p>
    <w:p>
      <w:pPr>
        <w:pStyle w:val="ConsPlusNormal"/>
        <w:autoSpaceDE w:val="false"/>
        <w:bidi w:val="0"/>
        <w:jc w:val="left"/>
        <w:rPr/>
      </w:pPr>
      <w:r>
        <w:rPr/>
      </w:r>
    </w:p>
    <w:tbl>
      <w:tblPr>
        <w:tblW w:w="963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3"/>
        <w:gridCol w:w="9352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jc w:val="left"/>
              <w:rPr/>
            </w:pPr>
            <w:r>
              <w:rPr/>
            </w:r>
          </w:p>
        </w:tc>
        <w:tc>
          <w:tcPr>
            <w:tcW w:w="9352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Список изменяющих документов</w:t>
            </w:r>
          </w:p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(в ред. </w:t>
            </w:r>
            <w:hyperlink r:id="rId80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Постановления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Кабинета Министров ЧР от 27.07.2016 N 299)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color w:val="392C69"/>
                <w:position w:val="0"/>
                <w:sz w:val="24"/>
                <w:sz w:val="24"/>
                <w:szCs w:val="24"/>
                <w:u w:val="none"/>
                <w:vertAlign w:val="baseline"/>
              </w:rPr>
            </w:r>
          </w:p>
        </w:tc>
      </w:tr>
    </w:tbl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tbl>
      <w:tblPr>
        <w:tblW w:w="9062" w:type="dxa"/>
        <w:jc w:val="left"/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350"/>
        <w:gridCol w:w="2145"/>
      </w:tblGrid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N п/п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Наименование имущества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Количество (единиц)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Лодка гребная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2.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Легководолазное снаряжение (ласты, маски)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3.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Круги спасательные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5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4.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"Конец Александрова"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2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5.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Нагрудники спасательные (жилеты спасательные)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5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6.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Аптечка первой медицинской помощи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7.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Санитарная сумка с лекарственными препаратами для медицинского применения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906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(в ред. </w:t>
            </w:r>
            <w:hyperlink r:id="rId81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Постановления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Кабинета Министров ЧР от 27.07.2016 N 299)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8.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Медицинские изделия (языкодержатели, роторасширители, шины, кислородные подушки и т.д.)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 набор</w:t>
            </w:r>
          </w:p>
        </w:tc>
      </w:tr>
      <w:tr>
        <w:trPr/>
        <w:tc>
          <w:tcPr>
            <w:tcW w:w="906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(в ред. </w:t>
            </w:r>
            <w:hyperlink r:id="rId82">
              <w:r>
                <w:rPr>
                  <w:rFonts w:eastAsia="Times New Roman" w:cs="Times New Roman"/>
                  <w:b w:val="false"/>
                  <w:bCs w:val="false"/>
                  <w:i w:val="false"/>
                  <w:iCs w:val="false"/>
                  <w:strike w:val="false"/>
                  <w:dstrike w:val="false"/>
                  <w:color w:val="0000FF"/>
                  <w:position w:val="0"/>
                  <w:sz w:val="24"/>
                  <w:sz w:val="24"/>
                  <w:szCs w:val="24"/>
                  <w:u w:val="none"/>
                  <w:vertAlign w:val="baseline"/>
                </w:rPr>
                <w:t>Постановления</w:t>
              </w:r>
            </w:hyperlink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 xml:space="preserve"> Кабинета Министров ЧР от 27.07.2016 N 299)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9.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Электромегафон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10.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Бинокль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11.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Противопожарный щит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12.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Огнетушитель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</w:t>
            </w:r>
          </w:p>
        </w:tc>
      </w:tr>
      <w:tr>
        <w:trPr/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13.</w:t>
            </w:r>
          </w:p>
        </w:tc>
        <w:tc>
          <w:tcPr>
            <w:tcW w:w="6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both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Хозяйственный инвентарь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sPlusNormal"/>
              <w:autoSpaceDE w:val="false"/>
              <w:bidi w:val="0"/>
              <w:ind w:left="0" w:right="0" w:hanging="0"/>
              <w:jc w:val="center"/>
              <w:rPr>
                <w:rFonts w:ascii="Times New Roman" w:hAnsi="Times New Roman" w:eastAsia="Times New Roman" w:cs="Times New Roman"/>
                <w:b w:val="false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strike w:val="false"/>
                <w:dstrike w:val="false"/>
                <w:position w:val="0"/>
                <w:sz w:val="24"/>
                <w:sz w:val="24"/>
                <w:szCs w:val="24"/>
                <w:u w:val="none"/>
                <w:vertAlign w:val="baseline"/>
              </w:rPr>
              <w:t>1 набор</w:t>
            </w:r>
          </w:p>
        </w:tc>
      </w:tr>
    </w:tbl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autoSpaceDE w:val="false"/>
        <w:bidi w:val="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ConsPlusNormal"/>
        <w:pBdr>
          <w:top w:val="single" w:sz="2" w:space="0" w:color="000000"/>
        </w:pBdr>
        <w:autoSpaceDE w:val="false"/>
        <w:bidi w:val="0"/>
        <w:spacing w:before="100" w:after="100"/>
        <w:ind w:left="0" w:right="0" w:hanging="0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strike w:val="false"/>
          <w:dstrike w:val="false"/>
          <w:position w:val="0"/>
          <w:sz w:val="2"/>
          <w:sz w:val="2"/>
          <w:szCs w:val="2"/>
          <w:u w:val="none"/>
          <w:vertAlign w:val="baseline"/>
        </w:rPr>
      </w:pP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position w:val="0"/>
          <w:sz w:val="2"/>
          <w:sz w:val="2"/>
          <w:szCs w:val="2"/>
          <w:u w:val="none"/>
          <w:vertAlign w:val="baseline"/>
        </w:rPr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Courier New">
    <w:charset w:val="cc"/>
    <w:family w:val="modern"/>
    <w:pitch w:val="fixed"/>
  </w:font>
  <w:font w:name="Times New Roman">
    <w:charset w:val="cc"/>
    <w:family w:val="modern"/>
    <w:pitch w:val="fixed"/>
  </w:font>
  <w:font w:name="Tahoma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Times New Roman" w:hAnsi="Times New Roman" w:eastAsia="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onsPlusNormal">
    <w:name w:val="ConsPlusNormal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4"/>
      <w:sz w:val="24"/>
      <w:szCs w:val="24"/>
      <w:u w:val="none"/>
      <w:vertAlign w:val="baseline"/>
      <w:lang w:val="ru-RU" w:eastAsia="zh-CN" w:bidi="hi-IN"/>
    </w:rPr>
  </w:style>
  <w:style w:type="paragraph" w:styleId="ConsPlusNonformat">
    <w:name w:val="ConsPlusNonformat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Courier New" w:cs="Courier New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0"/>
      <w:sz w:val="20"/>
      <w:szCs w:val="20"/>
      <w:u w:val="none"/>
      <w:vertAlign w:val="baseline"/>
      <w:lang w:val="ru-RU" w:eastAsia="zh-CN" w:bidi="hi-IN"/>
    </w:rPr>
  </w:style>
  <w:style w:type="paragraph" w:styleId="ConsPlusTitle">
    <w:name w:val="ConsPlusTitle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/>
      <w:bCs/>
      <w:i w:val="false"/>
      <w:iCs w:val="false"/>
      <w:strike w:val="false"/>
      <w:dstrike w:val="false"/>
      <w:color w:val="auto"/>
      <w:kern w:val="2"/>
      <w:position w:val="0"/>
      <w:sz w:val="24"/>
      <w:sz w:val="24"/>
      <w:szCs w:val="24"/>
      <w:u w:val="none"/>
      <w:vertAlign w:val="baseline"/>
      <w:lang w:val="ru-RU" w:eastAsia="zh-CN" w:bidi="hi-IN"/>
    </w:rPr>
  </w:style>
  <w:style w:type="paragraph" w:styleId="ConsPlusCell">
    <w:name w:val="ConsPlusCell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Courier New" w:hAnsi="Courier New" w:eastAsia="Courier New" w:cs="Courier New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0"/>
      <w:sz w:val="20"/>
      <w:szCs w:val="20"/>
      <w:u w:val="none"/>
      <w:vertAlign w:val="baseline"/>
      <w:lang w:val="ru-RU" w:eastAsia="zh-CN" w:bidi="hi-IN"/>
    </w:rPr>
  </w:style>
  <w:style w:type="paragraph" w:styleId="ConsPlusDocList">
    <w:name w:val="ConsPlusDocList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Times New Roman" w:hAnsi="Times New Roman" w:eastAsia="Times New Roman" w:cs="Times New Roman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4"/>
      <w:sz w:val="24"/>
      <w:szCs w:val="24"/>
      <w:u w:val="none"/>
      <w:vertAlign w:val="baseline"/>
      <w:lang w:val="ru-RU" w:eastAsia="zh-CN" w:bidi="hi-IN"/>
    </w:rPr>
  </w:style>
  <w:style w:type="paragraph" w:styleId="ConsPlusTitlePage">
    <w:name w:val="ConsPlusTitlePage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Tahoma" w:hAnsi="Tahoma" w:eastAsia="Tahoma" w:cs="Tahoma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4"/>
      <w:sz w:val="24"/>
      <w:szCs w:val="24"/>
      <w:u w:val="none"/>
      <w:vertAlign w:val="baseline"/>
      <w:lang w:val="ru-RU" w:eastAsia="zh-CN" w:bidi="hi-IN"/>
    </w:rPr>
  </w:style>
  <w:style w:type="paragraph" w:styleId="ConsPlusJurTerm">
    <w:name w:val="ConsPlusJurTerm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Tahoma" w:hAnsi="Tahoma" w:eastAsia="Tahoma" w:cs="Tahoma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6"/>
      <w:sz w:val="26"/>
      <w:szCs w:val="26"/>
      <w:u w:val="none"/>
      <w:vertAlign w:val="baseline"/>
      <w:lang w:val="ru-RU" w:eastAsia="zh-CN" w:bidi="hi-IN"/>
    </w:rPr>
  </w:style>
  <w:style w:type="paragraph" w:styleId="WWConsPlusJurTerm">
    <w:name w:val="WW-ConsPlusJurTerm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Tahoma" w:hAnsi="Tahoma" w:eastAsia="Tahoma" w:cs="Tahoma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6"/>
      <w:sz w:val="26"/>
      <w:szCs w:val="26"/>
      <w:u w:val="none"/>
      <w:vertAlign w:val="baseline"/>
      <w:lang w:val="ru-RU" w:eastAsia="zh-CN" w:bidi="hi-IN"/>
    </w:rPr>
  </w:style>
  <w:style w:type="paragraph" w:styleId="ConsPlusTextList">
    <w:name w:val="ConsPlusTextList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Arial" w:cs="Arial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0"/>
      <w:sz w:val="20"/>
      <w:szCs w:val="20"/>
      <w:u w:val="none"/>
      <w:vertAlign w:val="baseline"/>
      <w:lang w:val="ru-RU" w:eastAsia="zh-CN" w:bidi="hi-IN"/>
    </w:rPr>
  </w:style>
  <w:style w:type="paragraph" w:styleId="WWConsPlusTextList">
    <w:name w:val="WW-ConsPlusTextList"/>
    <w:next w:val="ConsPlusNormal"/>
    <w:qFormat/>
    <w:pPr>
      <w:widowControl w:val="false"/>
      <w:kinsoku w:val="true"/>
      <w:overflowPunct w:val="true"/>
      <w:autoSpaceDE w:val="false"/>
      <w:bidi w:val="0"/>
    </w:pPr>
    <w:rPr>
      <w:rFonts w:ascii="Arial" w:hAnsi="Arial" w:eastAsia="Arial" w:cs="Arial"/>
      <w:b w:val="false"/>
      <w:bCs w:val="false"/>
      <w:i w:val="false"/>
      <w:iCs w:val="false"/>
      <w:strike w:val="false"/>
      <w:dstrike w:val="false"/>
      <w:color w:val="auto"/>
      <w:kern w:val="2"/>
      <w:position w:val="0"/>
      <w:sz w:val="20"/>
      <w:sz w:val="20"/>
      <w:szCs w:val="20"/>
      <w:u w:val="none"/>
      <w:vertAlign w:val="baseli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" TargetMode="External"/><Relationship Id="rId3" Type="http://schemas.openxmlformats.org/officeDocument/2006/relationships/hyperlink" Target="https://login.consultant.ru/link/?req=doc&amp;base=RLAW098&amp;n=127809&amp;dst=100016" TargetMode="External"/><Relationship Id="rId4" Type="http://schemas.openxmlformats.org/officeDocument/2006/relationships/hyperlink" Target="https://login.consultant.ru/link/?req=doc&amp;base=RLAW098&amp;n=38867&amp;dst=100005" TargetMode="External"/><Relationship Id="rId5" Type="http://schemas.openxmlformats.org/officeDocument/2006/relationships/hyperlink" Target="https://login.consultant.ru/link/?req=doc&amp;base=RLAW098&amp;n=87051&amp;dst=100005" TargetMode="External"/><Relationship Id="rId6" Type="http://schemas.openxmlformats.org/officeDocument/2006/relationships/hyperlink" Target="https://login.consultant.ru/link/?req=doc&amp;base=RLAW098&amp;n=106504&amp;dst=100005" TargetMode="External"/><Relationship Id="rId7" Type="http://schemas.openxmlformats.org/officeDocument/2006/relationships/hyperlink" Target="https://login.consultant.ru/link/?req=doc&amp;base=RLAW098&amp;n=121154&amp;dst=100005" TargetMode="External"/><Relationship Id="rId8" Type="http://schemas.openxmlformats.org/officeDocument/2006/relationships/hyperlink" Target="https://login.consultant.ru/link/?req=doc&amp;base=RLAW098&amp;n=198838&amp;dst=100010" TargetMode="External"/><Relationship Id="rId9" Type="http://schemas.openxmlformats.org/officeDocument/2006/relationships/hyperlink" Target="https://login.consultant.ru/link/?req=doc&amp;base=RLAW098&amp;n=143459&amp;dst=100005" TargetMode="External"/><Relationship Id="rId10" Type="http://schemas.openxmlformats.org/officeDocument/2006/relationships/hyperlink" Target="https://login.consultant.ru/link/?req=doc&amp;base=RLAW098&amp;n=144287&amp;dst=100005" TargetMode="External"/><Relationship Id="rId11" Type="http://schemas.openxmlformats.org/officeDocument/2006/relationships/hyperlink" Target="https://login.consultant.ru/link/?req=doc&amp;base=RLAW098&amp;n=145286&amp;dst=100005" TargetMode="External"/><Relationship Id="rId12" Type="http://schemas.openxmlformats.org/officeDocument/2006/relationships/hyperlink" Target="https://login.consultant.ru/link/?req=doc&amp;base=RLAW098&amp;n=200373&amp;dst=100005" TargetMode="External"/><Relationship Id="rId13" Type="http://schemas.openxmlformats.org/officeDocument/2006/relationships/hyperlink" Target="https://login.consultant.ru/link/?req=doc&amp;base=RLAW098&amp;n=87051&amp;dst=100006" TargetMode="External"/><Relationship Id="rId14" Type="http://schemas.openxmlformats.org/officeDocument/2006/relationships/hyperlink" Target="https://login.consultant.ru/link/?req=doc&amp;base=RLAW098&amp;n=87051&amp;dst=100009" TargetMode="External"/><Relationship Id="rId15" Type="http://schemas.openxmlformats.org/officeDocument/2006/relationships/hyperlink" Target="https://login.consultant.ru/link/?req=doc&amp;base=RLAW098&amp;n=200373&amp;dst=100006" TargetMode="External"/><Relationship Id="rId16" Type="http://schemas.openxmlformats.org/officeDocument/2006/relationships/hyperlink" Target="https://login.consultant.ru/link/?req=doc&amp;base=RLAW098&amp;n=87051&amp;dst=100011" TargetMode="External"/><Relationship Id="rId17" Type="http://schemas.openxmlformats.org/officeDocument/2006/relationships/hyperlink" Target="https://login.consultant.ru/link/?req=doc&amp;base=RLAW098&amp;n=87051&amp;dst=100011" TargetMode="External"/><Relationship Id="rId18" Type="http://schemas.openxmlformats.org/officeDocument/2006/relationships/hyperlink" Target="https://login.consultant.ru/link/?req=doc&amp;base=RLAW098&amp;n=38867&amp;dst=100005" TargetMode="External"/><Relationship Id="rId19" Type="http://schemas.openxmlformats.org/officeDocument/2006/relationships/hyperlink" Target="https://login.consultant.ru/link/?req=doc&amp;base=RLAW098&amp;n=121154&amp;dst=100006" TargetMode="External"/><Relationship Id="rId20" Type="http://schemas.openxmlformats.org/officeDocument/2006/relationships/hyperlink" Target="https://login.consultant.ru/link/?req=doc&amp;base=RLAW098&amp;n=198838&amp;dst=100011" TargetMode="External"/><Relationship Id="rId21" Type="http://schemas.openxmlformats.org/officeDocument/2006/relationships/hyperlink" Target="https://login.consultant.ru/link/?req=doc&amp;base=RLAW098&amp;n=200373&amp;dst=100008" TargetMode="External"/><Relationship Id="rId22" Type="http://schemas.openxmlformats.org/officeDocument/2006/relationships/hyperlink" Target="https://login.consultant.ru/link/?req=doc&amp;base=RLAW098&amp;n=127809&amp;dst=100016" TargetMode="External"/><Relationship Id="rId23" Type="http://schemas.openxmlformats.org/officeDocument/2006/relationships/hyperlink" Target="https://login.consultant.ru/link/?req=doc&amp;base=RLAW098&amp;n=87051&amp;dst=100012" TargetMode="External"/><Relationship Id="rId24" Type="http://schemas.openxmlformats.org/officeDocument/2006/relationships/hyperlink" Target="https://login.consultant.ru/link/?req=doc&amp;base=RLAW098&amp;n=106504&amp;dst=100005" TargetMode="External"/><Relationship Id="rId25" Type="http://schemas.openxmlformats.org/officeDocument/2006/relationships/hyperlink" Target="https://login.consultant.ru/link/?req=doc&amp;base=RLAW098&amp;n=121154&amp;dst=100008" TargetMode="External"/><Relationship Id="rId26" Type="http://schemas.openxmlformats.org/officeDocument/2006/relationships/hyperlink" Target="https://login.consultant.ru/link/?req=doc&amp;base=RLAW098&amp;n=143459&amp;dst=100005" TargetMode="External"/><Relationship Id="rId27" Type="http://schemas.openxmlformats.org/officeDocument/2006/relationships/hyperlink" Target="https://login.consultant.ru/link/?req=doc&amp;base=RLAW098&amp;n=144287&amp;dst=100005" TargetMode="External"/><Relationship Id="rId28" Type="http://schemas.openxmlformats.org/officeDocument/2006/relationships/hyperlink" Target="https://login.consultant.ru/link/?req=doc&amp;base=RLAW098&amp;n=145286&amp;dst=100005" TargetMode="External"/><Relationship Id="rId29" Type="http://schemas.openxmlformats.org/officeDocument/2006/relationships/hyperlink" Target="https://login.consultant.ru/link/?req=doc&amp;base=RLAW098&amp;n=200373&amp;dst=100009" TargetMode="External"/><Relationship Id="rId30" Type="http://schemas.openxmlformats.org/officeDocument/2006/relationships/hyperlink" Target="https://login.consultant.ru/link/?req=doc&amp;base=RLAW098&amp;n=87051&amp;dst=100015" TargetMode="External"/><Relationship Id="rId31" Type="http://schemas.openxmlformats.org/officeDocument/2006/relationships/hyperlink" Target="https://login.consultant.ru/link/?req=doc&amp;base=RLAW098&amp;n=200373&amp;dst=100010" TargetMode="External"/><Relationship Id="rId32" Type="http://schemas.openxmlformats.org/officeDocument/2006/relationships/hyperlink" Target="https://login.consultant.ru/link/?req=doc&amp;base=LAW&amp;n=523590&amp;dst=100509" TargetMode="External"/><Relationship Id="rId33" Type="http://schemas.openxmlformats.org/officeDocument/2006/relationships/hyperlink" Target="https://login.consultant.ru/link/?req=doc&amp;base=RLAW098&amp;n=87051&amp;dst=100017" TargetMode="External"/><Relationship Id="rId34" Type="http://schemas.openxmlformats.org/officeDocument/2006/relationships/hyperlink" Target="https://login.consultant.ru/link/?req=doc&amp;base=RLAW098&amp;n=87051&amp;dst=100018" TargetMode="External"/><Relationship Id="rId35" Type="http://schemas.openxmlformats.org/officeDocument/2006/relationships/hyperlink" Target="https://login.consultant.ru/link/?req=doc&amp;base=RLAW098&amp;n=87051&amp;dst=100019" TargetMode="External"/><Relationship Id="rId36" Type="http://schemas.openxmlformats.org/officeDocument/2006/relationships/hyperlink" Target="https://login.consultant.ru/link/?req=doc&amp;base=RLAW098&amp;n=87051&amp;dst=100021" TargetMode="External"/><Relationship Id="rId37" Type="http://schemas.openxmlformats.org/officeDocument/2006/relationships/hyperlink" Target="https://login.consultant.ru/link/?req=doc&amp;base=RLAW098&amp;n=87051&amp;dst=100023" TargetMode="External"/><Relationship Id="rId38" Type="http://schemas.openxmlformats.org/officeDocument/2006/relationships/hyperlink" Target="https://login.consultant.ru/link/?req=doc&amp;base=RLAW098&amp;n=87051&amp;dst=100024" TargetMode="External"/><Relationship Id="rId39" Type="http://schemas.openxmlformats.org/officeDocument/2006/relationships/hyperlink" Target="https://login.consultant.ru/link/?req=doc&amp;base=RLAW098&amp;n=87051&amp;dst=100025" TargetMode="External"/><Relationship Id="rId40" Type="http://schemas.openxmlformats.org/officeDocument/2006/relationships/hyperlink" Target="https://login.consultant.ru/link/?req=doc&amp;base=RLAW098&amp;n=87051&amp;dst=100026" TargetMode="External"/><Relationship Id="rId41" Type="http://schemas.openxmlformats.org/officeDocument/2006/relationships/hyperlink" Target="https://login.consultant.ru/link/?req=doc&amp;base=RLAW098&amp;n=87051&amp;dst=100028" TargetMode="External"/><Relationship Id="rId42" Type="http://schemas.openxmlformats.org/officeDocument/2006/relationships/hyperlink" Target="https://login.consultant.ru/link/?req=doc&amp;base=RLAW098&amp;n=87051&amp;dst=100028" TargetMode="External"/><Relationship Id="rId43" Type="http://schemas.openxmlformats.org/officeDocument/2006/relationships/hyperlink" Target="https://login.consultant.ru/link/?req=doc&amp;base=RLAW098&amp;n=87051&amp;dst=100030" TargetMode="External"/><Relationship Id="rId44" Type="http://schemas.openxmlformats.org/officeDocument/2006/relationships/hyperlink" Target="https://login.consultant.ru/link/?req=doc&amp;base=LAW&amp;n=523248&amp;dst=100093" TargetMode="External"/><Relationship Id="rId45" Type="http://schemas.openxmlformats.org/officeDocument/2006/relationships/hyperlink" Target="https://login.consultant.ru/link/?req=doc&amp;base=RLAW098&amp;n=87051&amp;dst=100031" TargetMode="External"/><Relationship Id="rId46" Type="http://schemas.openxmlformats.org/officeDocument/2006/relationships/hyperlink" Target="https://login.consultant.ru/link/?req=doc&amp;base=RLAW098&amp;n=87051&amp;dst=100034" TargetMode="External"/><Relationship Id="rId47" Type="http://schemas.openxmlformats.org/officeDocument/2006/relationships/hyperlink" Target="https://login.consultant.ru/link/?req=doc&amp;base=RLAW098&amp;n=87051&amp;dst=100034" TargetMode="External"/><Relationship Id="rId48" Type="http://schemas.openxmlformats.org/officeDocument/2006/relationships/hyperlink" Target="https://login.consultant.ru/link/?req=doc&amp;base=RLAW098&amp;n=143459&amp;dst=100005" TargetMode="External"/><Relationship Id="rId49" Type="http://schemas.openxmlformats.org/officeDocument/2006/relationships/hyperlink" Target="https://login.consultant.ru/link/?req=doc&amp;base=RLAW098&amp;n=87051&amp;dst=100035" TargetMode="External"/><Relationship Id="rId50" Type="http://schemas.openxmlformats.org/officeDocument/2006/relationships/hyperlink" Target="https://login.consultant.ru/link/?req=doc&amp;base=RLAW098&amp;n=87051&amp;dst=100036" TargetMode="External"/><Relationship Id="rId51" Type="http://schemas.openxmlformats.org/officeDocument/2006/relationships/hyperlink" Target="https://login.consultant.ru/link/?req=doc&amp;base=RLAW098&amp;n=87051&amp;dst=100039" TargetMode="External"/><Relationship Id="rId52" Type="http://schemas.openxmlformats.org/officeDocument/2006/relationships/hyperlink" Target="https://login.consultant.ru/link/?req=doc&amp;base=RLAW098&amp;n=87051&amp;dst=100039" TargetMode="External"/><Relationship Id="rId53" Type="http://schemas.openxmlformats.org/officeDocument/2006/relationships/hyperlink" Target="https://login.consultant.ru/link/?req=doc&amp;base=RLAW098&amp;n=87051&amp;dst=100039" TargetMode="External"/><Relationship Id="rId54" Type="http://schemas.openxmlformats.org/officeDocument/2006/relationships/hyperlink" Target="https://login.consultant.ru/link/?req=doc&amp;base=RLAW098&amp;n=87051&amp;dst=100041" TargetMode="External"/><Relationship Id="rId55" Type="http://schemas.openxmlformats.org/officeDocument/2006/relationships/hyperlink" Target="https://login.consultant.ru/link/?req=doc&amp;base=RLAW098&amp;n=87051&amp;dst=100042" TargetMode="External"/><Relationship Id="rId56" Type="http://schemas.openxmlformats.org/officeDocument/2006/relationships/hyperlink" Target="https://login.consultant.ru/link/?req=doc&amp;base=RLAW098&amp;n=87051&amp;dst=100043" TargetMode="External"/><Relationship Id="rId57" Type="http://schemas.openxmlformats.org/officeDocument/2006/relationships/hyperlink" Target="https://login.consultant.ru/link/?req=doc&amp;base=RLAW098&amp;n=87051&amp;dst=100043" TargetMode="External"/><Relationship Id="rId58" Type="http://schemas.openxmlformats.org/officeDocument/2006/relationships/hyperlink" Target="https://login.consultant.ru/link/?req=doc&amp;base=RLAW098&amp;n=87051&amp;dst=100043" TargetMode="External"/><Relationship Id="rId59" Type="http://schemas.openxmlformats.org/officeDocument/2006/relationships/hyperlink" Target="https://login.consultant.ru/link/?req=doc&amp;base=RLAW098&amp;n=87051&amp;dst=100043" TargetMode="External"/><Relationship Id="rId60" Type="http://schemas.openxmlformats.org/officeDocument/2006/relationships/hyperlink" Target="https://login.consultant.ru/link/?req=doc&amp;base=RLAW098&amp;n=87051&amp;dst=100044" TargetMode="External"/><Relationship Id="rId61" Type="http://schemas.openxmlformats.org/officeDocument/2006/relationships/hyperlink" Target="https://login.consultant.ru/link/?req=doc&amp;base=RLAW098&amp;n=87051&amp;dst=100045" TargetMode="External"/><Relationship Id="rId62" Type="http://schemas.openxmlformats.org/officeDocument/2006/relationships/hyperlink" Target="https://login.consultant.ru/link/?req=doc&amp;base=RLAW098&amp;n=87051&amp;dst=100046" TargetMode="External"/><Relationship Id="rId63" Type="http://schemas.openxmlformats.org/officeDocument/2006/relationships/hyperlink" Target="https://login.consultant.ru/link/?req=doc&amp;base=RLAW098&amp;n=87051&amp;dst=100049" TargetMode="External"/><Relationship Id="rId64" Type="http://schemas.openxmlformats.org/officeDocument/2006/relationships/hyperlink" Target="https://login.consultant.ru/link/?req=doc&amp;base=RLAW098&amp;n=200373&amp;dst=100011" TargetMode="External"/><Relationship Id="rId65" Type="http://schemas.openxmlformats.org/officeDocument/2006/relationships/hyperlink" Target="https://login.consultant.ru/link/?req=doc&amp;base=RLAW098&amp;n=87051&amp;dst=100050" TargetMode="External"/><Relationship Id="rId66" Type="http://schemas.openxmlformats.org/officeDocument/2006/relationships/hyperlink" Target="https://login.consultant.ru/link/?req=doc&amp;base=RLAW098&amp;n=87051&amp;dst=100051" TargetMode="External"/><Relationship Id="rId67" Type="http://schemas.openxmlformats.org/officeDocument/2006/relationships/hyperlink" Target="https://login.consultant.ru/link/?req=doc&amp;base=RLAW098&amp;n=87051&amp;dst=100051" TargetMode="External"/><Relationship Id="rId68" Type="http://schemas.openxmlformats.org/officeDocument/2006/relationships/hyperlink" Target="https://login.consultant.ru/link/?req=doc&amp;base=RLAW098&amp;n=87051&amp;dst=100051" TargetMode="External"/><Relationship Id="rId69" Type="http://schemas.openxmlformats.org/officeDocument/2006/relationships/hyperlink" Target="https://login.consultant.ru/link/?req=doc&amp;base=RLAW098&amp;n=87051&amp;dst=100051" TargetMode="External"/><Relationship Id="rId70" Type="http://schemas.openxmlformats.org/officeDocument/2006/relationships/hyperlink" Target="https://login.consultant.ru/link/?req=doc&amp;base=RLAW098&amp;n=145286&amp;dst=100005" TargetMode="External"/><Relationship Id="rId71" Type="http://schemas.openxmlformats.org/officeDocument/2006/relationships/hyperlink" Target="https://login.consultant.ru/link/?req=doc&amp;base=RLAW098&amp;n=87051&amp;dst=100053" TargetMode="External"/><Relationship Id="rId72" Type="http://schemas.openxmlformats.org/officeDocument/2006/relationships/hyperlink" Target="https://login.consultant.ru/link/?req=doc&amp;base=RLAW098&amp;n=87051&amp;dst=100054" TargetMode="External"/><Relationship Id="rId73" Type="http://schemas.openxmlformats.org/officeDocument/2006/relationships/hyperlink" Target="https://login.consultant.ru/link/?req=doc&amp;base=RLAW098&amp;n=87051&amp;dst=100055" TargetMode="External"/><Relationship Id="rId74" Type="http://schemas.openxmlformats.org/officeDocument/2006/relationships/hyperlink" Target="https://login.consultant.ru/link/?req=doc&amp;base=RLAW098&amp;n=87051&amp;dst=100055" TargetMode="External"/><Relationship Id="rId75" Type="http://schemas.openxmlformats.org/officeDocument/2006/relationships/hyperlink" Target="https://login.consultant.ru/link/?req=doc&amp;base=RLAW098&amp;n=87051&amp;dst=100056" TargetMode="External"/><Relationship Id="rId76" Type="http://schemas.openxmlformats.org/officeDocument/2006/relationships/hyperlink" Target="https://login.consultant.ru/link/?req=doc&amp;base=RLAW098&amp;n=87051&amp;dst=100058" TargetMode="External"/><Relationship Id="rId77" Type="http://schemas.openxmlformats.org/officeDocument/2006/relationships/hyperlink" Target="https://login.consultant.ru/link/?req=doc&amp;base=RLAW098&amp;n=87051&amp;dst=100059" TargetMode="External"/><Relationship Id="rId78" Type="http://schemas.openxmlformats.org/officeDocument/2006/relationships/hyperlink" Target="https://login.consultant.ru/link/?req=doc&amp;base=RLAW098&amp;n=87051&amp;dst=100060" TargetMode="External"/><Relationship Id="rId79" Type="http://schemas.openxmlformats.org/officeDocument/2006/relationships/hyperlink" Target="https://login.consultant.ru/link/?req=doc&amp;base=RLAW098&amp;n=87051&amp;dst=100060" TargetMode="External"/><Relationship Id="rId80" Type="http://schemas.openxmlformats.org/officeDocument/2006/relationships/hyperlink" Target="https://login.consultant.ru/link/?req=doc&amp;base=RLAW098&amp;n=87051&amp;dst=100061" TargetMode="External"/><Relationship Id="rId81" Type="http://schemas.openxmlformats.org/officeDocument/2006/relationships/hyperlink" Target="https://login.consultant.ru/link/?req=doc&amp;base=RLAW098&amp;n=87051&amp;dst=100063" TargetMode="External"/><Relationship Id="rId82" Type="http://schemas.openxmlformats.org/officeDocument/2006/relationships/hyperlink" Target="https://login.consultant.ru/link/?req=doc&amp;base=RLAW098&amp;n=87051&amp;dst=100064" TargetMode="External"/><Relationship Id="rId83" Type="http://schemas.openxmlformats.org/officeDocument/2006/relationships/fontTable" Target="fontTable.xml"/><Relationship Id="rId8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14</Pages>
  <Words>4410</Words>
  <CharactersWithSpaces>31981</CharactersWithSpaces>
  <Paragraphs>325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2026-07-29T15:18:46Z</dcterms:created>
  <dc:creator>юст юсттт</dc:creator>
  <dc:description/>
  <dc:language>ru-RU</dc:language>
  <cp:lastModifiedBy>юст юсттт</cp:lastModifiedBy>
  <dcterms:modified xsi:type="dcterms:W3CDTF">2026-07-29T15:20:29Z</dcterms:modified>
  <cp:revision>1</cp:revision>
  <dc:subject/>
  <dc:title/>
</cp:coreProperties>
</file>