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E83D3D">
        <w:tc>
          <w:tcPr>
            <w:tcW w:w="5103" w:type="dxa"/>
          </w:tcPr>
          <w:p w:rsidR="00E83D3D" w:rsidRDefault="00E83D3D" w:rsidP="005028A0">
            <w:pPr>
              <w:autoSpaceDE w:val="0"/>
              <w:autoSpaceDN w:val="0"/>
              <w:adjustRightInd w:val="0"/>
              <w:spacing w:after="0" w:line="240" w:lineRule="auto"/>
              <w:outlineLvl w:val="0"/>
              <w:rPr>
                <w:rFonts w:ascii="Arial" w:hAnsi="Arial" w:cs="Arial"/>
                <w:sz w:val="20"/>
                <w:szCs w:val="20"/>
              </w:rPr>
            </w:pPr>
          </w:p>
        </w:tc>
        <w:tc>
          <w:tcPr>
            <w:tcW w:w="5103" w:type="dxa"/>
          </w:tcPr>
          <w:p w:rsidR="00E83D3D" w:rsidRPr="00E83D3D" w:rsidRDefault="00E83D3D" w:rsidP="005028A0">
            <w:pPr>
              <w:autoSpaceDE w:val="0"/>
              <w:autoSpaceDN w:val="0"/>
              <w:adjustRightInd w:val="0"/>
              <w:spacing w:after="0" w:line="240" w:lineRule="auto"/>
              <w:jc w:val="right"/>
              <w:outlineLvl w:val="0"/>
              <w:rPr>
                <w:rFonts w:ascii="Arial" w:hAnsi="Arial" w:cs="Arial"/>
                <w:b/>
                <w:sz w:val="20"/>
                <w:szCs w:val="20"/>
              </w:rPr>
            </w:pPr>
            <w:r w:rsidRPr="00E83D3D">
              <w:rPr>
                <w:rFonts w:ascii="Arial" w:hAnsi="Arial" w:cs="Arial"/>
                <w:b/>
                <w:sz w:val="20"/>
                <w:szCs w:val="20"/>
              </w:rPr>
              <w:t>Извлечение</w:t>
            </w:r>
          </w:p>
        </w:tc>
      </w:tr>
      <w:tr w:rsidR="00E83D3D">
        <w:tc>
          <w:tcPr>
            <w:tcW w:w="5103" w:type="dxa"/>
          </w:tcPr>
          <w:p w:rsidR="00E83D3D" w:rsidRDefault="00E83D3D" w:rsidP="005028A0">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25 ноября 2003 года</w:t>
            </w:r>
          </w:p>
        </w:tc>
        <w:tc>
          <w:tcPr>
            <w:tcW w:w="5103" w:type="dxa"/>
          </w:tcPr>
          <w:p w:rsidR="00E83D3D" w:rsidRDefault="00E83D3D" w:rsidP="005028A0">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41</w:t>
            </w:r>
          </w:p>
        </w:tc>
      </w:tr>
    </w:tbl>
    <w:p w:rsidR="00E83D3D" w:rsidRDefault="00E83D3D" w:rsidP="005028A0">
      <w:pPr>
        <w:pBdr>
          <w:top w:val="single" w:sz="6" w:space="0" w:color="auto"/>
        </w:pBdr>
        <w:autoSpaceDE w:val="0"/>
        <w:autoSpaceDN w:val="0"/>
        <w:adjustRightInd w:val="0"/>
        <w:spacing w:after="0" w:line="240" w:lineRule="auto"/>
        <w:jc w:val="both"/>
        <w:rPr>
          <w:rFonts w:ascii="Arial" w:hAnsi="Arial" w:cs="Arial"/>
          <w:sz w:val="2"/>
          <w:szCs w:val="2"/>
        </w:rPr>
      </w:pPr>
    </w:p>
    <w:p w:rsidR="00E83D3D" w:rsidRDefault="00E83D3D" w:rsidP="005028A0">
      <w:pPr>
        <w:autoSpaceDE w:val="0"/>
        <w:autoSpaceDN w:val="0"/>
        <w:adjustRightInd w:val="0"/>
        <w:spacing w:after="0" w:line="240" w:lineRule="auto"/>
        <w:jc w:val="both"/>
        <w:rPr>
          <w:rFonts w:ascii="Arial" w:hAnsi="Arial" w:cs="Arial"/>
          <w:sz w:val="20"/>
          <w:szCs w:val="20"/>
        </w:rPr>
      </w:pP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ВЫБОРАХ В ОРГАНЫ МЕСТНОГО САМОУПРАВЛЕНИЯ</w:t>
      </w:r>
      <w:bookmarkStart w:id="0" w:name="_GoBack"/>
      <w:bookmarkEnd w:id="0"/>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ЧУВАШСКОЙ РЕСПУБЛИКЕ</w:t>
      </w:r>
    </w:p>
    <w:p w:rsidR="00E83D3D" w:rsidRDefault="00E83D3D" w:rsidP="005028A0">
      <w:pPr>
        <w:autoSpaceDE w:val="0"/>
        <w:autoSpaceDN w:val="0"/>
        <w:adjustRightInd w:val="0"/>
        <w:spacing w:after="0" w:line="240" w:lineRule="auto"/>
        <w:jc w:val="both"/>
        <w:rPr>
          <w:rFonts w:ascii="Arial" w:hAnsi="Arial" w:cs="Arial"/>
          <w:sz w:val="20"/>
          <w:szCs w:val="20"/>
        </w:rPr>
      </w:pPr>
    </w:p>
    <w:p w:rsidR="00E83D3D" w:rsidRDefault="00E83D3D" w:rsidP="005028A0">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E83D3D" w:rsidRDefault="00E83D3D" w:rsidP="005028A0">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E83D3D" w:rsidRDefault="00E83D3D" w:rsidP="005028A0">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E83D3D" w:rsidRDefault="00E83D3D" w:rsidP="005028A0">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11 ноября 2003 года</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 Основные принципы проведения выборов. Виды избирательных систем, применяемых на выборах. Всеобщее избирательное право</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Гражданин Российской Федерации участвует в выборах на основе всеобщего равного и прямого избирательного права при тайном голосовании.</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7. Составление списков избирателей</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Список избирателей составляется не </w:t>
      </w:r>
      <w:proofErr w:type="gramStart"/>
      <w:r>
        <w:rPr>
          <w:rFonts w:ascii="Arial" w:hAnsi="Arial" w:cs="Arial"/>
          <w:sz w:val="20"/>
          <w:szCs w:val="20"/>
        </w:rPr>
        <w:t>позднее</w:t>
      </w:r>
      <w:proofErr w:type="gramEnd"/>
      <w:r>
        <w:rPr>
          <w:rFonts w:ascii="Arial" w:hAnsi="Arial" w:cs="Arial"/>
          <w:sz w:val="20"/>
          <w:szCs w:val="20"/>
        </w:rPr>
        <w:t xml:space="preserve"> чем за 11 дней до дня голосования территориальной избирательной комиссией, в том числе с использованием ГАС "Выборы", отдельно по каждому избирательному участку на основании сведений, представляемых по установленной форме в соответствии с </w:t>
      </w:r>
      <w:hyperlink r:id="rId5" w:history="1">
        <w:r>
          <w:rPr>
            <w:rFonts w:ascii="Arial" w:hAnsi="Arial" w:cs="Arial"/>
            <w:color w:val="0000FF"/>
            <w:sz w:val="20"/>
            <w:szCs w:val="20"/>
          </w:rPr>
          <w:t>пунктом 5</w:t>
        </w:r>
      </w:hyperlink>
      <w:r>
        <w:rPr>
          <w:rFonts w:ascii="Arial" w:hAnsi="Arial" w:cs="Arial"/>
          <w:sz w:val="20"/>
          <w:szCs w:val="20"/>
        </w:rPr>
        <w:t xml:space="preserve"> настоящей статьи.</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12. Гражданин Российской Федерации, обладающий активным избирательным правом, вправе обратиться в участковую избирательную комиссию с заявлением о включении его в список избирателей, о любой ошибке или неточности в сведениях о нем, внесенных в список избирателей. </w:t>
      </w:r>
      <w:proofErr w:type="gramStart"/>
      <w:r>
        <w:rPr>
          <w:rFonts w:ascii="Arial" w:hAnsi="Arial" w:cs="Arial"/>
          <w:sz w:val="20"/>
          <w:szCs w:val="20"/>
        </w:rPr>
        <w:t>В течение 24 часов,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roofErr w:type="gramEnd"/>
      <w:r>
        <w:rPr>
          <w:rFonts w:ascii="Arial" w:hAnsi="Arial" w:cs="Arial"/>
          <w:sz w:val="20"/>
          <w:szCs w:val="20"/>
        </w:rPr>
        <w:t xml:space="preserve"> </w:t>
      </w:r>
      <w:proofErr w:type="gramStart"/>
      <w:r>
        <w:rPr>
          <w:rFonts w:ascii="Arial" w:hAnsi="Arial" w:cs="Arial"/>
          <w:sz w:val="20"/>
          <w:szCs w:val="20"/>
        </w:rPr>
        <w:t>Решение участковой избирательной комиссии об отклонении заявления о включении гражданина Российской Федерации в список избирателей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и менее дня до дня голосования и в день голосования - немедленно.</w:t>
      </w:r>
      <w:proofErr w:type="gramEnd"/>
      <w:r>
        <w:rPr>
          <w:rFonts w:ascii="Arial" w:hAnsi="Arial" w:cs="Arial"/>
          <w:sz w:val="20"/>
          <w:szCs w:val="20"/>
        </w:rPr>
        <w:t xml:space="preserve"> В случае</w:t>
      </w:r>
      <w:proofErr w:type="gramStart"/>
      <w:r>
        <w:rPr>
          <w:rFonts w:ascii="Arial" w:hAnsi="Arial" w:cs="Arial"/>
          <w:sz w:val="20"/>
          <w:szCs w:val="20"/>
        </w:rPr>
        <w:t>,</w:t>
      </w:r>
      <w:proofErr w:type="gramEnd"/>
      <w:r>
        <w:rPr>
          <w:rFonts w:ascii="Arial" w:hAnsi="Arial" w:cs="Arial"/>
          <w:sz w:val="20"/>
          <w:szCs w:val="20"/>
        </w:rPr>
        <w:t xml:space="preserve"> если принято решение об удовлетворении жалобы (заявления), исправление в списке избирателей производится участковой избирательной комиссией немедленно. </w:t>
      </w:r>
      <w:proofErr w:type="gramStart"/>
      <w:r>
        <w:rPr>
          <w:rFonts w:ascii="Arial" w:hAnsi="Arial" w:cs="Arial"/>
          <w:sz w:val="20"/>
          <w:szCs w:val="20"/>
        </w:rPr>
        <w:t xml:space="preserve">Исключение гражданина Российской Федерации из списка избирателей после его подписания председателями и секретарями соответствующих избирательных комиссий и заверения его печатями этих комиссий в порядке, предусмотренном </w:t>
      </w:r>
      <w:hyperlink r:id="rId6" w:history="1">
        <w:r>
          <w:rPr>
            <w:rFonts w:ascii="Arial" w:hAnsi="Arial" w:cs="Arial"/>
            <w:color w:val="0000FF"/>
            <w:sz w:val="20"/>
            <w:szCs w:val="20"/>
          </w:rPr>
          <w:t>пунктом 8</w:t>
        </w:r>
      </w:hyperlink>
      <w:r>
        <w:rPr>
          <w:rFonts w:ascii="Arial" w:hAnsi="Arial" w:cs="Arial"/>
          <w:sz w:val="20"/>
          <w:szCs w:val="20"/>
        </w:rPr>
        <w:t xml:space="preserve"> настоящей статьи, производится только на основании официальных документов, в том числе сообщения вышестоящей избирательной комиссии о включении избирателя в список избирателей на другом избирательном участке.</w:t>
      </w:r>
      <w:proofErr w:type="gramEnd"/>
      <w:r>
        <w:rPr>
          <w:rFonts w:ascii="Arial" w:hAnsi="Arial" w:cs="Arial"/>
          <w:sz w:val="20"/>
          <w:szCs w:val="20"/>
        </w:rPr>
        <w:t xml:space="preserve"> При этом в списке избирателей, а также в базе данных </w:t>
      </w:r>
      <w:hyperlink r:id="rId7" w:history="1">
        <w:r>
          <w:rPr>
            <w:rFonts w:ascii="Arial" w:hAnsi="Arial" w:cs="Arial"/>
            <w:color w:val="0000FF"/>
            <w:sz w:val="20"/>
            <w:szCs w:val="20"/>
          </w:rPr>
          <w:t>ГАС "Выборы"</w:t>
        </w:r>
      </w:hyperlink>
      <w:r>
        <w:rPr>
          <w:rFonts w:ascii="Arial" w:hAnsi="Arial" w:cs="Arial"/>
          <w:sz w:val="20"/>
          <w:szCs w:val="20"/>
        </w:rPr>
        <w:t xml:space="preserve"> указывается дата исключения гражданина Российской Федерации из списка, а также причина такого исключения. Запись в списке избирателей заверяется подписью председателя участковой избирательной комиссии.</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w:t>
      </w:r>
      <w:r w:rsidRPr="00E83D3D">
        <w:rPr>
          <w:rFonts w:ascii="Arial" w:hAnsi="Arial" w:cs="Arial"/>
          <w:sz w:val="20"/>
          <w:szCs w:val="20"/>
          <w:vertAlign w:val="superscript"/>
        </w:rPr>
        <w:t>3</w:t>
      </w:r>
      <w:proofErr w:type="gramStart"/>
      <w:r>
        <w:rPr>
          <w:rFonts w:ascii="Arial" w:hAnsi="Arial" w:cs="Arial"/>
          <w:sz w:val="20"/>
          <w:szCs w:val="20"/>
        </w:rPr>
        <w:t xml:space="preserve"> В</w:t>
      </w:r>
      <w:proofErr w:type="gramEnd"/>
      <w:r>
        <w:rPr>
          <w:rFonts w:ascii="Arial" w:hAnsi="Arial" w:cs="Arial"/>
          <w:sz w:val="20"/>
          <w:szCs w:val="20"/>
        </w:rPr>
        <w:t xml:space="preserve"> соответствии с Федеральным законом в случае проведения голосования, предусмотренного </w:t>
      </w:r>
      <w:hyperlink r:id="rId8" w:history="1">
        <w:r>
          <w:rPr>
            <w:rFonts w:ascii="Arial" w:hAnsi="Arial" w:cs="Arial"/>
            <w:color w:val="0000FF"/>
            <w:sz w:val="20"/>
            <w:szCs w:val="20"/>
          </w:rPr>
          <w:t>пунктом 17 статьи 64</w:t>
        </w:r>
      </w:hyperlink>
      <w:r>
        <w:rPr>
          <w:rFonts w:ascii="Arial" w:hAnsi="Arial" w:cs="Arial"/>
          <w:sz w:val="20"/>
          <w:szCs w:val="20"/>
        </w:rPr>
        <w:t xml:space="preserve"> и (или) </w:t>
      </w:r>
      <w:hyperlink r:id="rId9" w:history="1">
        <w:r>
          <w:rPr>
            <w:rFonts w:ascii="Arial" w:hAnsi="Arial" w:cs="Arial"/>
            <w:color w:val="0000FF"/>
            <w:sz w:val="20"/>
            <w:szCs w:val="20"/>
          </w:rPr>
          <w:t>пунктом 19 статьи 66</w:t>
        </w:r>
      </w:hyperlink>
      <w:r>
        <w:rPr>
          <w:rFonts w:ascii="Arial" w:hAnsi="Arial" w:cs="Arial"/>
          <w:sz w:val="20"/>
          <w:szCs w:val="20"/>
        </w:rPr>
        <w:t xml:space="preserve"> Федерального закона, и (или) досрочного голосования, предусмотренного </w:t>
      </w:r>
      <w:hyperlink r:id="rId10" w:history="1">
        <w:r>
          <w:rPr>
            <w:rFonts w:ascii="Arial" w:hAnsi="Arial" w:cs="Arial"/>
            <w:color w:val="0000FF"/>
            <w:sz w:val="20"/>
            <w:szCs w:val="20"/>
          </w:rPr>
          <w:t>пунктом 17 статьи 65</w:t>
        </w:r>
      </w:hyperlink>
      <w:r>
        <w:rPr>
          <w:rFonts w:ascii="Arial" w:hAnsi="Arial" w:cs="Arial"/>
          <w:sz w:val="20"/>
          <w:szCs w:val="20"/>
        </w:rPr>
        <w:t xml:space="preserve"> Федерального закона, списки избирателей составляются в порядке, установленном Центральной избирательной комиссией Российской Федерации.</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14. Вносить какие-либо изменения в списки избирателей после окончания голосования и начала подсчета голосов избирателей запрещается.</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9. Образование избирательных участков</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В местах временного пребывания избирателей (больницах, санаториях, домах отдыха, на вокзалах, в аэропорту, местах содержания под </w:t>
      </w:r>
      <w:proofErr w:type="gramStart"/>
      <w:r>
        <w:rPr>
          <w:rFonts w:ascii="Arial" w:hAnsi="Arial" w:cs="Arial"/>
          <w:sz w:val="20"/>
          <w:szCs w:val="20"/>
        </w:rPr>
        <w:t>стражей</w:t>
      </w:r>
      <w:proofErr w:type="gramEnd"/>
      <w:r>
        <w:rPr>
          <w:rFonts w:ascii="Arial" w:hAnsi="Arial" w:cs="Arial"/>
          <w:sz w:val="20"/>
          <w:szCs w:val="20"/>
        </w:rPr>
        <w:t xml:space="preserve"> подозреваемых и обвиняемых и других местах временного пребывания) избирательные участки могут образовываться соответствующей территориальной избирательной комиссией на установленный ею срок не позднее чем за 30 дней до дня голосования, а в исключительных случаях по согласованию с вышестоящей избирательной комиссией - не позднее чем за три дня до дня (первого дня) голосования. Такие участки входят в избирательные округа по месту их расположения. Для проведения голосования, предусмотренного </w:t>
      </w:r>
      <w:hyperlink r:id="rId11" w:history="1">
        <w:r>
          <w:rPr>
            <w:rFonts w:ascii="Arial" w:hAnsi="Arial" w:cs="Arial"/>
            <w:color w:val="0000FF"/>
            <w:sz w:val="20"/>
            <w:szCs w:val="20"/>
          </w:rPr>
          <w:t>пунктом 17 статьи 64</w:t>
        </w:r>
      </w:hyperlink>
      <w:r>
        <w:rPr>
          <w:rFonts w:ascii="Arial" w:hAnsi="Arial" w:cs="Arial"/>
          <w:sz w:val="20"/>
          <w:szCs w:val="20"/>
        </w:rPr>
        <w:t xml:space="preserve"> и (или) </w:t>
      </w:r>
      <w:hyperlink r:id="rId12" w:history="1">
        <w:r>
          <w:rPr>
            <w:rFonts w:ascii="Arial" w:hAnsi="Arial" w:cs="Arial"/>
            <w:color w:val="0000FF"/>
            <w:sz w:val="20"/>
            <w:szCs w:val="20"/>
          </w:rPr>
          <w:t xml:space="preserve">пунктом 19 </w:t>
        </w:r>
        <w:r>
          <w:rPr>
            <w:rFonts w:ascii="Arial" w:hAnsi="Arial" w:cs="Arial"/>
            <w:color w:val="0000FF"/>
            <w:sz w:val="20"/>
            <w:szCs w:val="20"/>
          </w:rPr>
          <w:lastRenderedPageBreak/>
          <w:t>статьи 66</w:t>
        </w:r>
      </w:hyperlink>
      <w:r>
        <w:rPr>
          <w:rFonts w:ascii="Arial" w:hAnsi="Arial" w:cs="Arial"/>
          <w:sz w:val="20"/>
          <w:szCs w:val="20"/>
        </w:rPr>
        <w:t xml:space="preserve"> Федерального закона, и (или) досрочного голосования, предусмотренного </w:t>
      </w:r>
      <w:hyperlink r:id="rId13" w:history="1">
        <w:r>
          <w:rPr>
            <w:rFonts w:ascii="Arial" w:hAnsi="Arial" w:cs="Arial"/>
            <w:color w:val="0000FF"/>
            <w:sz w:val="20"/>
            <w:szCs w:val="20"/>
          </w:rPr>
          <w:t>пунктом 17 статьи 65</w:t>
        </w:r>
      </w:hyperlink>
      <w:r>
        <w:rPr>
          <w:rFonts w:ascii="Arial" w:hAnsi="Arial" w:cs="Arial"/>
          <w:sz w:val="20"/>
          <w:szCs w:val="20"/>
        </w:rPr>
        <w:t xml:space="preserve"> Федерального закона, избирательные участки могут образовываться Избирательной комиссией Чувашской Республики.</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III. ИЗБИРАТЕЛЬНЫЕ КОМИССИИ</w:t>
      </w:r>
    </w:p>
    <w:p w:rsidR="00E83D3D" w:rsidRDefault="00E83D3D" w:rsidP="005028A0">
      <w:pPr>
        <w:autoSpaceDE w:val="0"/>
        <w:autoSpaceDN w:val="0"/>
        <w:adjustRightInd w:val="0"/>
        <w:spacing w:after="0" w:line="240" w:lineRule="auto"/>
        <w:jc w:val="both"/>
        <w:rPr>
          <w:rFonts w:ascii="Arial" w:hAnsi="Arial" w:cs="Arial"/>
          <w:sz w:val="20"/>
          <w:szCs w:val="20"/>
        </w:rPr>
      </w:pP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10. Система и статус избирательных комиссий</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 Территориальная избирательная комиссия представляет отчеты об использовании средств соответствующих бюджетов, выделенных на обеспечение их деятельности, проведение выборов, в порядке, устанавливаемом законодательством Российской Федерации.</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15. Порядок формирования и полномочия участковых избирательных комиссий</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bookmarkStart w:id="1" w:name="Par28"/>
      <w:bookmarkEnd w:id="1"/>
      <w:r>
        <w:rPr>
          <w:rFonts w:ascii="Arial" w:hAnsi="Arial" w:cs="Arial"/>
          <w:sz w:val="20"/>
          <w:szCs w:val="20"/>
        </w:rPr>
        <w:t>1.</w:t>
      </w:r>
      <w:r w:rsidRPr="00E83D3D">
        <w:rPr>
          <w:rFonts w:ascii="Arial" w:hAnsi="Arial" w:cs="Arial"/>
          <w:sz w:val="20"/>
          <w:szCs w:val="20"/>
          <w:vertAlign w:val="superscript"/>
        </w:rPr>
        <w:t>2-1</w:t>
      </w:r>
      <w:r>
        <w:rPr>
          <w:rFonts w:ascii="Arial" w:hAnsi="Arial" w:cs="Arial"/>
          <w:sz w:val="20"/>
          <w:szCs w:val="20"/>
        </w:rPr>
        <w:t xml:space="preserve">. Для обеспечения голосования, предусмотренного </w:t>
      </w:r>
      <w:hyperlink r:id="rId14" w:history="1">
        <w:r>
          <w:rPr>
            <w:rFonts w:ascii="Arial" w:hAnsi="Arial" w:cs="Arial"/>
            <w:color w:val="0000FF"/>
            <w:sz w:val="20"/>
            <w:szCs w:val="20"/>
          </w:rPr>
          <w:t>пунктом 17 статьи 64</w:t>
        </w:r>
      </w:hyperlink>
      <w:r>
        <w:rPr>
          <w:rFonts w:ascii="Arial" w:hAnsi="Arial" w:cs="Arial"/>
          <w:sz w:val="20"/>
          <w:szCs w:val="20"/>
        </w:rPr>
        <w:t xml:space="preserve"> и (или) </w:t>
      </w:r>
      <w:hyperlink r:id="rId15" w:history="1">
        <w:r>
          <w:rPr>
            <w:rFonts w:ascii="Arial" w:hAnsi="Arial" w:cs="Arial"/>
            <w:color w:val="0000FF"/>
            <w:sz w:val="20"/>
            <w:szCs w:val="20"/>
          </w:rPr>
          <w:t>пунктом 19 статьи 66</w:t>
        </w:r>
      </w:hyperlink>
      <w:r>
        <w:rPr>
          <w:rFonts w:ascii="Arial" w:hAnsi="Arial" w:cs="Arial"/>
          <w:sz w:val="20"/>
          <w:szCs w:val="20"/>
        </w:rPr>
        <w:t xml:space="preserve"> Федерального закона, и (или) досрочного голосования, предусмотренного </w:t>
      </w:r>
      <w:hyperlink r:id="rId16" w:history="1">
        <w:r>
          <w:rPr>
            <w:rFonts w:ascii="Arial" w:hAnsi="Arial" w:cs="Arial"/>
            <w:color w:val="0000FF"/>
            <w:sz w:val="20"/>
            <w:szCs w:val="20"/>
          </w:rPr>
          <w:t>пунктом 17 статьи 65</w:t>
        </w:r>
      </w:hyperlink>
      <w:r>
        <w:rPr>
          <w:rFonts w:ascii="Arial" w:hAnsi="Arial" w:cs="Arial"/>
          <w:sz w:val="20"/>
          <w:szCs w:val="20"/>
        </w:rPr>
        <w:t xml:space="preserve"> Федерального закона, Избирательной комиссией Чувашской Республики могут быть сформированы специальные участковые избирательные комиссии. Такие комиссии могут быть </w:t>
      </w:r>
      <w:proofErr w:type="gramStart"/>
      <w:r>
        <w:rPr>
          <w:rFonts w:ascii="Arial" w:hAnsi="Arial" w:cs="Arial"/>
          <w:sz w:val="20"/>
          <w:szCs w:val="20"/>
        </w:rPr>
        <w:t>сформированы</w:t>
      </w:r>
      <w:proofErr w:type="gramEnd"/>
      <w:r>
        <w:rPr>
          <w:rFonts w:ascii="Arial" w:hAnsi="Arial" w:cs="Arial"/>
          <w:sz w:val="20"/>
          <w:szCs w:val="20"/>
        </w:rPr>
        <w:t xml:space="preserve"> в том числе из числа работников мест содержания под стражей подозреваемых и обвиняемых, либо полномочия таких участковых избирательных комиссий могут быть возложены на иные участковые избирательные комиссии.</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2. Срок полномочий участковой избирательной комиссии, сформированной в соответствии с </w:t>
      </w:r>
      <w:hyperlink r:id="rId17" w:history="1">
        <w:r>
          <w:rPr>
            <w:rFonts w:ascii="Arial" w:hAnsi="Arial" w:cs="Arial"/>
            <w:color w:val="0000FF"/>
            <w:sz w:val="20"/>
            <w:szCs w:val="20"/>
          </w:rPr>
          <w:t>пунктом 1</w:t>
        </w:r>
      </w:hyperlink>
      <w:r>
        <w:rPr>
          <w:rFonts w:ascii="Arial" w:hAnsi="Arial" w:cs="Arial"/>
          <w:sz w:val="20"/>
          <w:szCs w:val="20"/>
        </w:rPr>
        <w:t xml:space="preserve"> настоящей статьи, составляет пять лет. Если срок полномочий участковой избирательной комиссии, сформированной в соответствии с </w:t>
      </w:r>
      <w:hyperlink r:id="rId18" w:history="1">
        <w:r>
          <w:rPr>
            <w:rFonts w:ascii="Arial" w:hAnsi="Arial" w:cs="Arial"/>
            <w:color w:val="0000FF"/>
            <w:sz w:val="20"/>
            <w:szCs w:val="20"/>
          </w:rPr>
          <w:t>пунктом 1</w:t>
        </w:r>
      </w:hyperlink>
      <w:r>
        <w:rPr>
          <w:rFonts w:ascii="Arial" w:hAnsi="Arial" w:cs="Arial"/>
          <w:sz w:val="20"/>
          <w:szCs w:val="20"/>
        </w:rPr>
        <w:t xml:space="preserve"> настоящей статьи, истекает в сроки, предусмотренные </w:t>
      </w:r>
      <w:hyperlink r:id="rId19" w:history="1">
        <w:r>
          <w:rPr>
            <w:rFonts w:ascii="Arial" w:hAnsi="Arial" w:cs="Arial"/>
            <w:color w:val="0000FF"/>
            <w:sz w:val="20"/>
            <w:szCs w:val="20"/>
          </w:rPr>
          <w:t>пунктами 2</w:t>
        </w:r>
      </w:hyperlink>
      <w:r>
        <w:rPr>
          <w:rFonts w:ascii="Arial" w:hAnsi="Arial" w:cs="Arial"/>
          <w:sz w:val="20"/>
          <w:szCs w:val="20"/>
        </w:rPr>
        <w:t xml:space="preserve">, </w:t>
      </w:r>
      <w:hyperlink r:id="rId20" w:history="1">
        <w:r>
          <w:rPr>
            <w:rFonts w:ascii="Arial" w:hAnsi="Arial" w:cs="Arial"/>
            <w:color w:val="0000FF"/>
            <w:sz w:val="20"/>
            <w:szCs w:val="20"/>
          </w:rPr>
          <w:t>3</w:t>
        </w:r>
      </w:hyperlink>
      <w:r>
        <w:rPr>
          <w:rFonts w:ascii="Arial" w:hAnsi="Arial" w:cs="Arial"/>
          <w:sz w:val="20"/>
          <w:szCs w:val="20"/>
        </w:rPr>
        <w:t xml:space="preserve"> и </w:t>
      </w:r>
      <w:hyperlink r:id="rId21" w:history="1">
        <w:r>
          <w:rPr>
            <w:rFonts w:ascii="Arial" w:hAnsi="Arial" w:cs="Arial"/>
            <w:color w:val="0000FF"/>
            <w:sz w:val="20"/>
            <w:szCs w:val="20"/>
          </w:rPr>
          <w:t>7 статьи 10</w:t>
        </w:r>
      </w:hyperlink>
      <w:r>
        <w:rPr>
          <w:rFonts w:ascii="Arial" w:hAnsi="Arial" w:cs="Arial"/>
          <w:sz w:val="20"/>
          <w:szCs w:val="20"/>
        </w:rPr>
        <w:t xml:space="preserve"> Федерального закона для назначения ближайших выборов, в период избирательной кампании, в которой участвует данная комиссия, срок ее полномочий продлевается до окончания этой избирательной кампании. Срок полномочий участковой избирательной комиссии, сформированной в соответствии с </w:t>
      </w:r>
      <w:hyperlink r:id="rId22" w:history="1">
        <w:r>
          <w:rPr>
            <w:rFonts w:ascii="Arial" w:hAnsi="Arial" w:cs="Arial"/>
            <w:color w:val="0000FF"/>
            <w:sz w:val="20"/>
            <w:szCs w:val="20"/>
          </w:rPr>
          <w:t>пунктами 1.1</w:t>
        </w:r>
      </w:hyperlink>
      <w:r>
        <w:rPr>
          <w:rFonts w:ascii="Arial" w:hAnsi="Arial" w:cs="Arial"/>
          <w:sz w:val="20"/>
          <w:szCs w:val="20"/>
        </w:rPr>
        <w:t xml:space="preserve"> или </w:t>
      </w:r>
      <w:hyperlink r:id="rId23" w:history="1">
        <w:r>
          <w:rPr>
            <w:rFonts w:ascii="Arial" w:hAnsi="Arial" w:cs="Arial"/>
            <w:color w:val="0000FF"/>
            <w:sz w:val="20"/>
            <w:szCs w:val="20"/>
          </w:rPr>
          <w:t>1.2-1 статьи 27</w:t>
        </w:r>
      </w:hyperlink>
      <w:r>
        <w:rPr>
          <w:rFonts w:ascii="Arial" w:hAnsi="Arial" w:cs="Arial"/>
          <w:sz w:val="20"/>
          <w:szCs w:val="20"/>
        </w:rPr>
        <w:t xml:space="preserve"> Федерального закона, </w:t>
      </w:r>
      <w:hyperlink r:id="rId24" w:history="1">
        <w:r>
          <w:rPr>
            <w:rFonts w:ascii="Arial" w:hAnsi="Arial" w:cs="Arial"/>
            <w:color w:val="0000FF"/>
            <w:sz w:val="20"/>
            <w:szCs w:val="20"/>
          </w:rPr>
          <w:t>пунктами 1.1</w:t>
        </w:r>
      </w:hyperlink>
      <w:r>
        <w:rPr>
          <w:rFonts w:ascii="Arial" w:hAnsi="Arial" w:cs="Arial"/>
          <w:sz w:val="20"/>
          <w:szCs w:val="20"/>
        </w:rPr>
        <w:t xml:space="preserve"> или </w:t>
      </w:r>
      <w:hyperlink w:anchor="Par28" w:history="1">
        <w:r>
          <w:rPr>
            <w:rFonts w:ascii="Arial" w:hAnsi="Arial" w:cs="Arial"/>
            <w:color w:val="0000FF"/>
            <w:sz w:val="20"/>
            <w:szCs w:val="20"/>
          </w:rPr>
          <w:t>1.2-1</w:t>
        </w:r>
      </w:hyperlink>
      <w:r>
        <w:rPr>
          <w:rFonts w:ascii="Arial" w:hAnsi="Arial" w:cs="Arial"/>
          <w:sz w:val="20"/>
          <w:szCs w:val="20"/>
        </w:rPr>
        <w:t xml:space="preserve"> настоящей статьи, устанавливается сформировавшей ее комиссией, но не может истекать </w:t>
      </w:r>
      <w:proofErr w:type="gramStart"/>
      <w:r>
        <w:rPr>
          <w:rFonts w:ascii="Arial" w:hAnsi="Arial" w:cs="Arial"/>
          <w:sz w:val="20"/>
          <w:szCs w:val="20"/>
        </w:rPr>
        <w:t>ранее</w:t>
      </w:r>
      <w:proofErr w:type="gramEnd"/>
      <w:r>
        <w:rPr>
          <w:rFonts w:ascii="Arial" w:hAnsi="Arial" w:cs="Arial"/>
          <w:sz w:val="20"/>
          <w:szCs w:val="20"/>
        </w:rPr>
        <w:t xml:space="preserve"> чем через десять дней со дня официального опубликования результатов выборов,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полномочия такой участковой избирательной комиссии прекращаются со дня, следующего за днем исполнения участковой избирательной комиссией решения вышестоящей избирательной комиссии либо вступившего в законную силу судебного решения. Полномочия участковой избирательной комиссии прекращаются досрочно решением территориальной избирательной комиссии в случае ликвидации избирательного участка в связи с уточнением перечня избирательных участков.</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16. Организация деятельности избирательных комиссий</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На всех заседаниях избирательной комиссии, а также при подсчете голосов избирателей и осуществлении участковой, территориальной избирательными комиссиями работы со списками избирателей, с бюллетенями, протоколами об итогах голосования и со сводными таблицами вправе присутствовать члены вышестоящих комиссий и работники их аппаратов, кандидат, зарегистрированный данной либо вышестоящей комиссией, либо его уполномоченный представитель по финансовым вопросам</w:t>
      </w:r>
      <w:proofErr w:type="gramEnd"/>
      <w:r>
        <w:rPr>
          <w:rFonts w:ascii="Arial" w:hAnsi="Arial" w:cs="Arial"/>
          <w:sz w:val="20"/>
          <w:szCs w:val="20"/>
        </w:rPr>
        <w:t xml:space="preserve"> или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комиссией, или кандидат из указанного списка. На заседании избирательной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 Для присутствия на заседаниях избирательной комиссии и при осуществлении ею работы с указанными избирательными документами, указанным лицам не требуется дополнительное разрешение. Избирательная 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осуществляется работа с указанными избирательными документами. На всех заседаниях избирательной комиссии и при осуществлении ею работы с указанными документами, а также при подсчете голосов избирателей вправе присутствовать представители средств массовой информации.</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17. Гласность в деятельности избирательных комиссий</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 xml:space="preserve">При проведении выборов в органы местного самоуправления в Чувашской Республике наблюдателя могут назначить зарегистрированный кандидат, избирательное объединение, выдвинувшее зарегистрированного кандидата, зарегистрированных кандидатов, избирательное объединение, зарегистрировавшее список кандидатов, субъекты общественного контроля, указанные в </w:t>
      </w:r>
      <w:hyperlink r:id="rId25" w:history="1">
        <w:r>
          <w:rPr>
            <w:rFonts w:ascii="Arial" w:hAnsi="Arial" w:cs="Arial"/>
            <w:color w:val="0000FF"/>
            <w:sz w:val="20"/>
            <w:szCs w:val="20"/>
          </w:rPr>
          <w:t>пунктах 1</w:t>
        </w:r>
      </w:hyperlink>
      <w:r>
        <w:rPr>
          <w:rFonts w:ascii="Arial" w:hAnsi="Arial" w:cs="Arial"/>
          <w:sz w:val="20"/>
          <w:szCs w:val="20"/>
        </w:rPr>
        <w:t xml:space="preserve"> и </w:t>
      </w:r>
      <w:hyperlink r:id="rId26" w:history="1">
        <w:r>
          <w:rPr>
            <w:rFonts w:ascii="Arial" w:hAnsi="Arial" w:cs="Arial"/>
            <w:color w:val="0000FF"/>
            <w:sz w:val="20"/>
            <w:szCs w:val="20"/>
          </w:rPr>
          <w:t>2 части 1 статьи 9</w:t>
        </w:r>
      </w:hyperlink>
      <w:r>
        <w:rPr>
          <w:rFonts w:ascii="Arial" w:hAnsi="Arial" w:cs="Arial"/>
          <w:sz w:val="20"/>
          <w:szCs w:val="20"/>
        </w:rPr>
        <w:t xml:space="preserve"> Федерального закона от 21 июля 2014 года N 212-ФЗ "Об основах общественного контроля в Российской Федерации".</w:t>
      </w:r>
      <w:proofErr w:type="gramEnd"/>
    </w:p>
    <w:p w:rsidR="00E83D3D" w:rsidRDefault="00E83D3D" w:rsidP="005028A0">
      <w:pPr>
        <w:keepNext w:val="0"/>
        <w:keepLines w:val="0"/>
        <w:autoSpaceDE w:val="0"/>
        <w:autoSpaceDN w:val="0"/>
        <w:adjustRightInd w:val="0"/>
        <w:spacing w:before="0" w:line="240" w:lineRule="auto"/>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lastRenderedPageBreak/>
        <w:t>Глава IV. ГАРАНТИИ ПРАВ ГРАЖДАН ПРИ ВЫДВИЖЕНИИ</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 РЕГИСТРАЦИИ КАНДИДАТОВ</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22.</w:t>
      </w:r>
      <w:r w:rsidRPr="00E83D3D">
        <w:rPr>
          <w:rFonts w:ascii="Arial" w:eastAsiaTheme="minorHAnsi" w:hAnsi="Arial" w:cs="Arial"/>
          <w:color w:val="auto"/>
          <w:sz w:val="20"/>
          <w:szCs w:val="20"/>
          <w:vertAlign w:val="superscript"/>
        </w:rPr>
        <w:t>1.</w:t>
      </w:r>
      <w:r>
        <w:rPr>
          <w:rFonts w:ascii="Arial" w:eastAsiaTheme="minorHAnsi" w:hAnsi="Arial" w:cs="Arial"/>
          <w:color w:val="auto"/>
          <w:sz w:val="20"/>
          <w:szCs w:val="20"/>
        </w:rPr>
        <w:t xml:space="preserve"> Выдвижение избирательным объединением списка кандидатов в депутаты представительного органа муниципального образования по единому избирательному округу</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6. Состав списка кандидатов по единому избирательному округу и порядок размещения в нем кандидатов определяются избирательным объединением. Список кандидатов должен быть разбит на </w:t>
      </w:r>
      <w:proofErr w:type="spellStart"/>
      <w:r>
        <w:rPr>
          <w:rFonts w:ascii="Arial" w:hAnsi="Arial" w:cs="Arial"/>
          <w:sz w:val="20"/>
          <w:szCs w:val="20"/>
        </w:rPr>
        <w:t>общемуниципальную</w:t>
      </w:r>
      <w:proofErr w:type="spellEnd"/>
      <w:r>
        <w:rPr>
          <w:rFonts w:ascii="Arial" w:hAnsi="Arial" w:cs="Arial"/>
          <w:sz w:val="20"/>
          <w:szCs w:val="20"/>
        </w:rPr>
        <w:t xml:space="preserve"> часть и муниципальные части. Каждая муниципальная часть списка кандидатов должна соответствовать территории одного одномандатного избирательного округа, при этом должно быть указано, территории какого одномандатного избирательного округа соответствует каждая из муниципальных частей списка кандидатов. Количество муниципальных частей списка кандидатов должно быть не менее половины от количества одномандатных избирательных округов, образованных для проведения выборов, и не более общего количества одномандатных избирательных округов. Каждая из муниципальных частей списка должна включать не менее двух и не более трех кандидатов.</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7. </w:t>
      </w:r>
      <w:proofErr w:type="spellStart"/>
      <w:r>
        <w:rPr>
          <w:rFonts w:ascii="Arial" w:hAnsi="Arial" w:cs="Arial"/>
          <w:sz w:val="20"/>
          <w:szCs w:val="20"/>
        </w:rPr>
        <w:t>Общемуниципальная</w:t>
      </w:r>
      <w:proofErr w:type="spellEnd"/>
      <w:r>
        <w:rPr>
          <w:rFonts w:ascii="Arial" w:hAnsi="Arial" w:cs="Arial"/>
          <w:sz w:val="20"/>
          <w:szCs w:val="20"/>
        </w:rPr>
        <w:t xml:space="preserve"> часть списка кандидатов, в которую внесены кандидаты, не входящие в муниципальные части, может включать в себя не менее одного и не более трех кандидатов.</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23. Сбор подписей в поддержку выдвижения кандидатов, списков кандидатов</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В поддержку выдвижения кандидатов, списков кандидатов могут собираться подписи избирателей.</w:t>
      </w:r>
      <w:bookmarkStart w:id="2" w:name="Par41"/>
      <w:bookmarkEnd w:id="2"/>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24. Регистрация кандидатов, списка кандидатов</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 xml:space="preserve">Регистрация кандидата, списка кандидатов осуществляется соответствующей избирательной комиссией при наличии документов, указанных в </w:t>
      </w:r>
      <w:hyperlink r:id="rId27" w:history="1">
        <w:r>
          <w:rPr>
            <w:rFonts w:ascii="Arial" w:hAnsi="Arial" w:cs="Arial"/>
            <w:color w:val="0000FF"/>
            <w:sz w:val="20"/>
            <w:szCs w:val="20"/>
          </w:rPr>
          <w:t>пунктах 3</w:t>
        </w:r>
      </w:hyperlink>
      <w:r>
        <w:rPr>
          <w:rFonts w:ascii="Arial" w:hAnsi="Arial" w:cs="Arial"/>
          <w:sz w:val="20"/>
          <w:szCs w:val="20"/>
        </w:rPr>
        <w:t xml:space="preserve">, </w:t>
      </w:r>
      <w:hyperlink r:id="rId28" w:history="1">
        <w:r>
          <w:rPr>
            <w:rFonts w:ascii="Arial" w:hAnsi="Arial" w:cs="Arial"/>
            <w:color w:val="0000FF"/>
            <w:sz w:val="20"/>
            <w:szCs w:val="20"/>
          </w:rPr>
          <w:t>3.1</w:t>
        </w:r>
      </w:hyperlink>
      <w:r>
        <w:rPr>
          <w:rFonts w:ascii="Arial" w:hAnsi="Arial" w:cs="Arial"/>
          <w:sz w:val="20"/>
          <w:szCs w:val="20"/>
        </w:rPr>
        <w:t xml:space="preserve"> и </w:t>
      </w:r>
      <w:hyperlink r:id="rId29" w:history="1">
        <w:r>
          <w:rPr>
            <w:rFonts w:ascii="Arial" w:hAnsi="Arial" w:cs="Arial"/>
            <w:color w:val="0000FF"/>
            <w:sz w:val="20"/>
            <w:szCs w:val="20"/>
          </w:rPr>
          <w:t>4</w:t>
        </w:r>
      </w:hyperlink>
      <w:r>
        <w:rPr>
          <w:rFonts w:ascii="Arial" w:hAnsi="Arial" w:cs="Arial"/>
          <w:sz w:val="20"/>
          <w:szCs w:val="20"/>
        </w:rPr>
        <w:t xml:space="preserve"> (при проведении выборов глав муниципальных округов и глав городских округов также документов, указанных в </w:t>
      </w:r>
      <w:hyperlink r:id="rId30" w:history="1">
        <w:r>
          <w:rPr>
            <w:rFonts w:ascii="Arial" w:hAnsi="Arial" w:cs="Arial"/>
            <w:color w:val="0000FF"/>
            <w:sz w:val="20"/>
            <w:szCs w:val="20"/>
          </w:rPr>
          <w:t>пункте 4.1</w:t>
        </w:r>
      </w:hyperlink>
      <w:r>
        <w:rPr>
          <w:rFonts w:ascii="Arial" w:hAnsi="Arial" w:cs="Arial"/>
          <w:sz w:val="20"/>
          <w:szCs w:val="20"/>
        </w:rPr>
        <w:t>) статьи 20 настоящего Закона, иных предусмотренных настоящим Законом документов, представляемых в соответствующую избирательную комиссию для уведомления о выдвижении и регистрации кандидата, списка кандидатов, а также при</w:t>
      </w:r>
      <w:proofErr w:type="gramEnd"/>
      <w:r>
        <w:rPr>
          <w:rFonts w:ascii="Arial" w:hAnsi="Arial" w:cs="Arial"/>
          <w:sz w:val="20"/>
          <w:szCs w:val="20"/>
        </w:rPr>
        <w:t xml:space="preserve"> </w:t>
      </w:r>
      <w:proofErr w:type="gramStart"/>
      <w:r>
        <w:rPr>
          <w:rFonts w:ascii="Arial" w:hAnsi="Arial" w:cs="Arial"/>
          <w:sz w:val="20"/>
          <w:szCs w:val="20"/>
        </w:rPr>
        <w:t xml:space="preserve">наличии необходимого количества подписей избирателей, собранных в поддержку выдвижения кандидата, списка кандидатов либо при наличии решения политической партии (ее регионального отделения или иного структурного подразделения), на которую распространяется действие </w:t>
      </w:r>
      <w:hyperlink r:id="rId31" w:history="1">
        <w:r>
          <w:rPr>
            <w:rFonts w:ascii="Arial" w:hAnsi="Arial" w:cs="Arial"/>
            <w:color w:val="0000FF"/>
            <w:sz w:val="20"/>
            <w:szCs w:val="20"/>
          </w:rPr>
          <w:t>пунктов 2</w:t>
        </w:r>
      </w:hyperlink>
      <w:r>
        <w:rPr>
          <w:rFonts w:ascii="Arial" w:hAnsi="Arial" w:cs="Arial"/>
          <w:sz w:val="20"/>
          <w:szCs w:val="20"/>
        </w:rPr>
        <w:t xml:space="preserve"> - </w:t>
      </w:r>
      <w:hyperlink r:id="rId32" w:history="1">
        <w:r>
          <w:rPr>
            <w:rFonts w:ascii="Arial" w:hAnsi="Arial" w:cs="Arial"/>
            <w:color w:val="0000FF"/>
            <w:sz w:val="20"/>
            <w:szCs w:val="20"/>
          </w:rPr>
          <w:t>4 статьи 22.2</w:t>
        </w:r>
      </w:hyperlink>
      <w:r>
        <w:rPr>
          <w:rFonts w:ascii="Arial" w:hAnsi="Arial" w:cs="Arial"/>
          <w:sz w:val="20"/>
          <w:szCs w:val="20"/>
        </w:rPr>
        <w:t xml:space="preserve"> или </w:t>
      </w:r>
      <w:hyperlink r:id="rId33" w:history="1">
        <w:r>
          <w:rPr>
            <w:rFonts w:ascii="Arial" w:hAnsi="Arial" w:cs="Arial"/>
            <w:color w:val="0000FF"/>
            <w:sz w:val="20"/>
            <w:szCs w:val="20"/>
          </w:rPr>
          <w:t>пункта 2</w:t>
        </w:r>
      </w:hyperlink>
      <w:r>
        <w:rPr>
          <w:rFonts w:ascii="Arial" w:hAnsi="Arial" w:cs="Arial"/>
          <w:sz w:val="20"/>
          <w:szCs w:val="20"/>
        </w:rPr>
        <w:t xml:space="preserve"> настоящей статьи.</w:t>
      </w:r>
      <w:proofErr w:type="gramEnd"/>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Соответствующая избирательная комиссия в течение десяти дней со дня приема документов для регистрации кандидатов, списка кандидатов принимает решение о регистрации кандидата, списка кандидатов либо об отказе в регистрации указанного кандидата, списка кандидатов.</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10. Проверке могут подлежать все представленные подписи или часть этих подписей, но не менее 20 процентов от необходимого для регистрации количества подписей в поддержку каждого кандидата. В случае</w:t>
      </w:r>
      <w:proofErr w:type="gramStart"/>
      <w:r>
        <w:rPr>
          <w:rFonts w:ascii="Arial" w:hAnsi="Arial" w:cs="Arial"/>
          <w:sz w:val="20"/>
          <w:szCs w:val="20"/>
        </w:rPr>
        <w:t>,</w:t>
      </w:r>
      <w:proofErr w:type="gramEnd"/>
      <w:r>
        <w:rPr>
          <w:rFonts w:ascii="Arial" w:hAnsi="Arial" w:cs="Arial"/>
          <w:sz w:val="20"/>
          <w:szCs w:val="20"/>
        </w:rPr>
        <w:t xml:space="preserve"> если необходимое для регистрации количество подписей не превышает 200 подписей, проверке подлежат все подписи. Для проверки отбирается одинаковое количество подписей избирателей, собранных в поддержку выдвижения каждого кандидата, списка кандидатов. Количество отбираемых для проверки подписей в поддержку выдвижения кандидата, списка кандидатов устанавливается решением Избирательной комиссии Чувашской Республики. Подписные листы отбираются для проверки посредством случайной выборки (жребия) на заседании соответствующей избирательной комиссии. При проведении проверки подписей избирателей, в том числе при выборке подписей для проверки, вправе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уполномоченные представители или доверенные лица любого избирательного объединения, выдвинувшего кандидата, список кандидатов и представившего необходимое для регистрации количество подписей избирателей. О соответствующей проверке должны извещаться кандидат, уполномоченный представитель избирательного объединения, представившие установленное количество подписей избирателей. Проверке подлежат все подписи на подписных листах, отобранных для проверки.</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19. Порядок регистрации кандидатов, списка кандидатов, основания отказа в регистрации кандидата, списка кандидатов регулируются </w:t>
      </w:r>
      <w:hyperlink r:id="rId34" w:history="1">
        <w:r>
          <w:rPr>
            <w:rFonts w:ascii="Arial" w:hAnsi="Arial" w:cs="Arial"/>
            <w:color w:val="0000FF"/>
            <w:sz w:val="20"/>
            <w:szCs w:val="20"/>
          </w:rPr>
          <w:t>статьей 38</w:t>
        </w:r>
      </w:hyperlink>
      <w:r>
        <w:rPr>
          <w:rFonts w:ascii="Arial" w:hAnsi="Arial" w:cs="Arial"/>
          <w:sz w:val="20"/>
          <w:szCs w:val="20"/>
        </w:rPr>
        <w:t xml:space="preserve"> Федерального закона.</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V. СТАТУС КАНДИДАТОВ</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25.</w:t>
      </w:r>
      <w:r w:rsidRPr="00E83D3D">
        <w:rPr>
          <w:rFonts w:ascii="Arial" w:eastAsiaTheme="minorHAnsi" w:hAnsi="Arial" w:cs="Arial"/>
          <w:color w:val="auto"/>
          <w:sz w:val="20"/>
          <w:szCs w:val="20"/>
          <w:vertAlign w:val="superscript"/>
        </w:rPr>
        <w:t>1.</w:t>
      </w:r>
      <w:r>
        <w:rPr>
          <w:rFonts w:ascii="Arial" w:eastAsiaTheme="minorHAnsi" w:hAnsi="Arial" w:cs="Arial"/>
          <w:color w:val="auto"/>
          <w:sz w:val="20"/>
          <w:szCs w:val="20"/>
        </w:rPr>
        <w:t xml:space="preserve"> Уполномоченные представители избирательного объединения</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Избирательное объединение назначает представителей, уполномоченных в соответствии с Федеральным </w:t>
      </w:r>
      <w:hyperlink r:id="rId35" w:history="1">
        <w:r>
          <w:rPr>
            <w:rFonts w:ascii="Arial" w:hAnsi="Arial" w:cs="Arial"/>
            <w:color w:val="0000FF"/>
            <w:sz w:val="20"/>
            <w:szCs w:val="20"/>
          </w:rPr>
          <w:t>законом</w:t>
        </w:r>
      </w:hyperlink>
      <w:r>
        <w:rPr>
          <w:rFonts w:ascii="Arial" w:hAnsi="Arial" w:cs="Arial"/>
          <w:sz w:val="20"/>
          <w:szCs w:val="20"/>
        </w:rPr>
        <w:t>, настоящим Законом представлять избирательное объединение по всем вопросам, связанным с участием избирательного объединения в выборах в органы местного самоуправления.</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 </w:t>
      </w:r>
      <w:proofErr w:type="gramStart"/>
      <w:r>
        <w:rPr>
          <w:rFonts w:ascii="Arial" w:hAnsi="Arial" w:cs="Arial"/>
          <w:sz w:val="20"/>
          <w:szCs w:val="20"/>
        </w:rPr>
        <w:t xml:space="preserve">Уполномоченный представитель избирательного объединения осуществляет свои функции на основании решения, предусмотренного </w:t>
      </w:r>
      <w:hyperlink r:id="rId36" w:history="1">
        <w:r>
          <w:rPr>
            <w:rFonts w:ascii="Arial" w:hAnsi="Arial" w:cs="Arial"/>
            <w:color w:val="0000FF"/>
            <w:sz w:val="20"/>
            <w:szCs w:val="20"/>
          </w:rPr>
          <w:t>пунктом 2</w:t>
        </w:r>
      </w:hyperlink>
      <w:r>
        <w:rPr>
          <w:rFonts w:ascii="Arial" w:hAnsi="Arial" w:cs="Arial"/>
          <w:sz w:val="20"/>
          <w:szCs w:val="20"/>
        </w:rPr>
        <w:t xml:space="preserve"> настоящей статьи, а уполномоченный представитель избирательного объединения по финансовым вопросам - также на основании нотариально удостоверенной и оформленной в установленном законодательством порядке доверенности, в которой указываются </w:t>
      </w:r>
      <w:r>
        <w:rPr>
          <w:rFonts w:ascii="Arial" w:hAnsi="Arial" w:cs="Arial"/>
          <w:sz w:val="20"/>
          <w:szCs w:val="20"/>
        </w:rPr>
        <w:lastRenderedPageBreak/>
        <w:t>фамилия, имя, отчество, дата рождения, серия, номер, дата выдачи паспорта или документа, заменяющего паспорт гражданина, наименование или код органа, выдавшего паспорт или</w:t>
      </w:r>
      <w:proofErr w:type="gramEnd"/>
      <w:r>
        <w:rPr>
          <w:rFonts w:ascii="Arial" w:hAnsi="Arial" w:cs="Arial"/>
          <w:sz w:val="20"/>
          <w:szCs w:val="20"/>
        </w:rPr>
        <w:t xml:space="preserve"> документ, заменяющий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полномочия указанного лица и приводится оттиск печати для финансовых документов избирательного объединения.</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Избирательное объединение по решению уполномоченного на то органа избирательного объединения вправе в любое время прекратить полномочия уполномоченного представителя, письменно известив его об этом и направив копию соответствующего решения в организующую выборы избирательную комиссию.</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VI. ГАРАНТИИ ПРАВ ГРАЖДАН НА ПОЛУЧЕНИЕ</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 РАСПРОСТРАНЕНИЕ ИНФОРМАЦИИ О ВЫБОРАХ</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28. Информационное обеспечение выборов</w:t>
      </w:r>
    </w:p>
    <w:p w:rsidR="00E83D3D" w:rsidRDefault="00E83D3D" w:rsidP="005028A0">
      <w:pPr>
        <w:autoSpaceDE w:val="0"/>
        <w:autoSpaceDN w:val="0"/>
        <w:adjustRightInd w:val="0"/>
        <w:spacing w:after="0" w:line="240" w:lineRule="auto"/>
        <w:jc w:val="both"/>
        <w:rPr>
          <w:rFonts w:ascii="Arial" w:hAnsi="Arial" w:cs="Arial"/>
          <w:sz w:val="20"/>
          <w:szCs w:val="20"/>
        </w:rPr>
      </w:pP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Информационное обеспечение выборов проводится в порядке, предусмотренном </w:t>
      </w:r>
      <w:hyperlink r:id="rId37" w:history="1">
        <w:r>
          <w:rPr>
            <w:rFonts w:ascii="Arial" w:hAnsi="Arial" w:cs="Arial"/>
            <w:color w:val="0000FF"/>
            <w:sz w:val="20"/>
            <w:szCs w:val="20"/>
          </w:rPr>
          <w:t>статьями 44</w:t>
        </w:r>
      </w:hyperlink>
      <w:r>
        <w:rPr>
          <w:rFonts w:ascii="Arial" w:hAnsi="Arial" w:cs="Arial"/>
          <w:sz w:val="20"/>
          <w:szCs w:val="20"/>
        </w:rPr>
        <w:t xml:space="preserve"> - </w:t>
      </w:r>
      <w:hyperlink r:id="rId38" w:history="1">
        <w:r>
          <w:rPr>
            <w:rFonts w:ascii="Arial" w:hAnsi="Arial" w:cs="Arial"/>
            <w:color w:val="0000FF"/>
            <w:sz w:val="20"/>
            <w:szCs w:val="20"/>
          </w:rPr>
          <w:t>46</w:t>
        </w:r>
      </w:hyperlink>
      <w:r>
        <w:rPr>
          <w:rFonts w:ascii="Arial" w:hAnsi="Arial" w:cs="Arial"/>
          <w:sz w:val="20"/>
          <w:szCs w:val="20"/>
        </w:rPr>
        <w:t xml:space="preserve"> Федерального закона.</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31. Общие условия проведения предвыборной агитации на каналах организаций телерадиовещания и в периодических печатных изданиях</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Общие условия проведения предвыборной агитации на каналах организаций телерадиовещания и в периодических печатных изданиях регулируются </w:t>
      </w:r>
      <w:hyperlink r:id="rId39" w:history="1">
        <w:r>
          <w:rPr>
            <w:rFonts w:ascii="Arial" w:hAnsi="Arial" w:cs="Arial"/>
            <w:color w:val="0000FF"/>
            <w:sz w:val="20"/>
            <w:szCs w:val="20"/>
          </w:rPr>
          <w:t>статьей 50</w:t>
        </w:r>
      </w:hyperlink>
      <w:r>
        <w:rPr>
          <w:rFonts w:ascii="Arial" w:hAnsi="Arial" w:cs="Arial"/>
          <w:sz w:val="20"/>
          <w:szCs w:val="20"/>
        </w:rPr>
        <w:t xml:space="preserve"> Федерального закона.</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33. Условия проведения предвыборной агитации посредством массовых мероприятий</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VII. ФИНАНСИРОВАНИЕ ВЫБОРОВ</w:t>
      </w:r>
    </w:p>
    <w:p w:rsidR="00E83D3D" w:rsidRDefault="00E83D3D"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38. Порядок создания избирательных фондов</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w:t>
      </w:r>
      <w:r w:rsidRPr="00E83D3D">
        <w:rPr>
          <w:rFonts w:ascii="Arial" w:hAnsi="Arial" w:cs="Arial"/>
          <w:sz w:val="20"/>
          <w:szCs w:val="20"/>
          <w:vertAlign w:val="superscript"/>
        </w:rPr>
        <w:t>2.</w:t>
      </w:r>
      <w:r>
        <w:rPr>
          <w:rFonts w:ascii="Arial" w:hAnsi="Arial" w:cs="Arial"/>
          <w:sz w:val="20"/>
          <w:szCs w:val="20"/>
        </w:rPr>
        <w:t xml:space="preserve"> </w:t>
      </w:r>
      <w:proofErr w:type="gramStart"/>
      <w:r>
        <w:rPr>
          <w:rFonts w:ascii="Arial" w:hAnsi="Arial" w:cs="Arial"/>
          <w:sz w:val="20"/>
          <w:szCs w:val="20"/>
        </w:rPr>
        <w:t>Уполномоченный представитель кандидата по финансовым вопросам осуществляет свои действия на основании нотариально удостоверенной доверенности, которая выдается кандидатом и в которой указываются фамилия, имя, отчество, дата рождения, серия, номер,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основное место работы или службы, занимаемая должность (в случае отсутствия</w:t>
      </w:r>
      <w:proofErr w:type="gramEnd"/>
      <w:r>
        <w:rPr>
          <w:rFonts w:ascii="Arial" w:hAnsi="Arial" w:cs="Arial"/>
          <w:sz w:val="20"/>
          <w:szCs w:val="20"/>
        </w:rPr>
        <w:t xml:space="preserve"> основного места работы или службы - род занятий), полномочия уполномоченного представителя по финансовым вопросам, в том числе право подписи финансовых документов. Регистрация уполномоченного представителя кандидата по финансовым вопросам производится избирательной комиссией, осуществляющей регистрацию соответствующего кандидата, на основании заявления кандидата, письменного согласия гражданина быть таким уполномоченным представителем, нотариально удостоверенной доверенности, при предъявлении уполномоченным представителем кандидата по финансовым вопросам паспорта или документа, заменяющего паспорт гражданина. Срок полномочий уполномоченного представителя кандидата по финансовым вопросам </w:t>
      </w:r>
      <w:proofErr w:type="gramStart"/>
      <w:r>
        <w:rPr>
          <w:rFonts w:ascii="Arial" w:hAnsi="Arial" w:cs="Arial"/>
          <w:sz w:val="20"/>
          <w:szCs w:val="20"/>
        </w:rPr>
        <w:t>начинается со дня его назначения и истекает</w:t>
      </w:r>
      <w:proofErr w:type="gramEnd"/>
      <w:r>
        <w:rPr>
          <w:rFonts w:ascii="Arial" w:hAnsi="Arial" w:cs="Arial"/>
          <w:sz w:val="20"/>
          <w:szCs w:val="20"/>
        </w:rPr>
        <w:t xml:space="preserve"> через 60 дней со дня голосования, а в случае, если ведется судебное разбирательство с участием назначившего его кандидата, - со дня, следующего за днем вступления в законную силу судебного решения. Кандидат вправе в любое время прекратить полномочия уполномоченного представителя по финансовым вопросам, письменно известив его об этом и направив копию соответствующего заявления в избирательную комиссию, зарегистрировавшую уполномоченного представителя по финансовым вопросам.</w:t>
      </w:r>
    </w:p>
    <w:p w:rsidR="005028A0" w:rsidRDefault="005028A0"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7. Абзац утратил силу. - </w:t>
      </w:r>
      <w:hyperlink r:id="rId40" w:history="1">
        <w:r>
          <w:rPr>
            <w:rFonts w:ascii="Arial" w:hAnsi="Arial" w:cs="Arial"/>
            <w:color w:val="0000FF"/>
            <w:sz w:val="20"/>
            <w:szCs w:val="20"/>
          </w:rPr>
          <w:t>Закон</w:t>
        </w:r>
      </w:hyperlink>
      <w:r>
        <w:rPr>
          <w:rFonts w:ascii="Arial" w:hAnsi="Arial" w:cs="Arial"/>
          <w:sz w:val="20"/>
          <w:szCs w:val="20"/>
        </w:rPr>
        <w:t xml:space="preserve"> ЧР от 14.07.2006 N 35.</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Финансовые операции по оплате расходов со специальных избирательных счетов кандидатов, избирательных объединений, которые не представили в установленном настоящим Законом порядке в соответствующую избирательную комиссию документы, необходимые для регистрации, либо получили отказ в регистрации, либо отозвали свое заявление о согласии баллотироваться, либо сняли свою кандидатуру, либо были отозваны выдвинувшим их избирательным объединением, либо отозвали список кандидатов, либо в отношении которых было</w:t>
      </w:r>
      <w:proofErr w:type="gramEnd"/>
      <w:r>
        <w:rPr>
          <w:rFonts w:ascii="Arial" w:hAnsi="Arial" w:cs="Arial"/>
          <w:sz w:val="20"/>
          <w:szCs w:val="20"/>
        </w:rPr>
        <w:t xml:space="preserve"> принято решение об отмене или аннулировании регистрации, прекращаются кредитными организациями по указанию соответствующей избирательной комиссии.</w:t>
      </w:r>
    </w:p>
    <w:p w:rsidR="005028A0" w:rsidRDefault="005028A0"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VIII. ГАРАНТИИ ПРАВ ГРАЖДАН ПРИ ОРГАНИЗАЦИИ И</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proofErr w:type="gramStart"/>
      <w:r>
        <w:rPr>
          <w:rFonts w:ascii="Arial" w:eastAsiaTheme="minorHAnsi" w:hAnsi="Arial" w:cs="Arial"/>
          <w:color w:val="auto"/>
          <w:sz w:val="20"/>
          <w:szCs w:val="20"/>
        </w:rPr>
        <w:t>ОСУЩЕСТВЛЕНИИ</w:t>
      </w:r>
      <w:proofErr w:type="gramEnd"/>
      <w:r>
        <w:rPr>
          <w:rFonts w:ascii="Arial" w:eastAsiaTheme="minorHAnsi" w:hAnsi="Arial" w:cs="Arial"/>
          <w:color w:val="auto"/>
          <w:sz w:val="20"/>
          <w:szCs w:val="20"/>
        </w:rPr>
        <w:t xml:space="preserve"> ГОЛОСОВАНИЯ, УСТАНОВЛЕНИИ ИТОГОВ ГОЛОСОВАНИЯ,</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proofErr w:type="gramStart"/>
      <w:r>
        <w:rPr>
          <w:rFonts w:ascii="Arial" w:eastAsiaTheme="minorHAnsi" w:hAnsi="Arial" w:cs="Arial"/>
          <w:color w:val="auto"/>
          <w:sz w:val="20"/>
          <w:szCs w:val="20"/>
        </w:rPr>
        <w:t>ОПРЕДЕЛЕНИИ</w:t>
      </w:r>
      <w:proofErr w:type="gramEnd"/>
      <w:r>
        <w:rPr>
          <w:rFonts w:ascii="Arial" w:eastAsiaTheme="minorHAnsi" w:hAnsi="Arial" w:cs="Arial"/>
          <w:color w:val="auto"/>
          <w:sz w:val="20"/>
          <w:szCs w:val="20"/>
        </w:rPr>
        <w:t xml:space="preserve"> РЕЗУЛЬТАТОВ ВЫБОРОВ И ИХ ОПУБЛИКОВАНИИ</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43. Бюллетень</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 Бюллетени </w:t>
      </w:r>
      <w:proofErr w:type="gramStart"/>
      <w:r>
        <w:rPr>
          <w:rFonts w:ascii="Arial" w:hAnsi="Arial" w:cs="Arial"/>
          <w:sz w:val="20"/>
          <w:szCs w:val="20"/>
        </w:rPr>
        <w:t>изготовляются исключительно по распоряжению соответствующей избирательной комиссии и являются</w:t>
      </w:r>
      <w:proofErr w:type="gramEnd"/>
      <w:r>
        <w:rPr>
          <w:rFonts w:ascii="Arial" w:hAnsi="Arial" w:cs="Arial"/>
          <w:sz w:val="20"/>
          <w:szCs w:val="20"/>
        </w:rPr>
        <w:t xml:space="preserve"> документами строгой отчетности. Нумерация бюллетеней не допускается. Число </w:t>
      </w:r>
      <w:r>
        <w:rPr>
          <w:rFonts w:ascii="Arial" w:hAnsi="Arial" w:cs="Arial"/>
          <w:sz w:val="20"/>
          <w:szCs w:val="20"/>
        </w:rPr>
        <w:lastRenderedPageBreak/>
        <w:t>изготовленных бюллетеней не должно более чем на 1,5 процента превышать число зарегистрированных избирателей.</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4.</w:t>
      </w:r>
      <w:r w:rsidRPr="005028A0">
        <w:rPr>
          <w:rFonts w:ascii="Arial" w:hAnsi="Arial" w:cs="Arial"/>
          <w:sz w:val="20"/>
          <w:szCs w:val="20"/>
          <w:vertAlign w:val="superscript"/>
        </w:rPr>
        <w:t>1.</w:t>
      </w:r>
      <w:r>
        <w:rPr>
          <w:rFonts w:ascii="Arial" w:hAnsi="Arial" w:cs="Arial"/>
          <w:sz w:val="20"/>
          <w:szCs w:val="20"/>
        </w:rPr>
        <w:t xml:space="preserve"> </w:t>
      </w:r>
      <w:proofErr w:type="gramStart"/>
      <w:r>
        <w:rPr>
          <w:rFonts w:ascii="Arial" w:hAnsi="Arial" w:cs="Arial"/>
          <w:sz w:val="20"/>
          <w:szCs w:val="20"/>
        </w:rPr>
        <w:t xml:space="preserve">При проведении голосования за списки кандидатов в бюллетене размещаются в порядке, определяемом жеребьевкой, наименования политических партий в соответствии с </w:t>
      </w:r>
      <w:hyperlink r:id="rId41" w:history="1">
        <w:r>
          <w:rPr>
            <w:rFonts w:ascii="Arial" w:hAnsi="Arial" w:cs="Arial"/>
            <w:color w:val="0000FF"/>
            <w:sz w:val="20"/>
            <w:szCs w:val="20"/>
          </w:rPr>
          <w:t>пунктом 10 статьи 35</w:t>
        </w:r>
      </w:hyperlink>
      <w:r>
        <w:rPr>
          <w:rFonts w:ascii="Arial" w:hAnsi="Arial" w:cs="Arial"/>
          <w:sz w:val="20"/>
          <w:szCs w:val="20"/>
        </w:rPr>
        <w:t xml:space="preserve"> Федерального закона, а также фамилии, имена, отчества не менее чем первых трех кандидатов из списка либо его </w:t>
      </w:r>
      <w:proofErr w:type="spellStart"/>
      <w:r>
        <w:rPr>
          <w:rFonts w:ascii="Arial" w:hAnsi="Arial" w:cs="Arial"/>
          <w:sz w:val="20"/>
          <w:szCs w:val="20"/>
        </w:rPr>
        <w:t>общемуниципальной</w:t>
      </w:r>
      <w:proofErr w:type="spellEnd"/>
      <w:r>
        <w:rPr>
          <w:rFonts w:ascii="Arial" w:hAnsi="Arial" w:cs="Arial"/>
          <w:sz w:val="20"/>
          <w:szCs w:val="20"/>
        </w:rPr>
        <w:t xml:space="preserve"> части и (или) соответствующей муниципальной части (в случае, если в </w:t>
      </w:r>
      <w:proofErr w:type="spellStart"/>
      <w:r>
        <w:rPr>
          <w:rFonts w:ascii="Arial" w:hAnsi="Arial" w:cs="Arial"/>
          <w:sz w:val="20"/>
          <w:szCs w:val="20"/>
        </w:rPr>
        <w:t>общемуниципальную</w:t>
      </w:r>
      <w:proofErr w:type="spellEnd"/>
      <w:r>
        <w:rPr>
          <w:rFonts w:ascii="Arial" w:hAnsi="Arial" w:cs="Arial"/>
          <w:sz w:val="20"/>
          <w:szCs w:val="20"/>
        </w:rPr>
        <w:t xml:space="preserve"> часть списка или его муниципальную часть включены один</w:t>
      </w:r>
      <w:proofErr w:type="gramEnd"/>
      <w:r>
        <w:rPr>
          <w:rFonts w:ascii="Arial" w:hAnsi="Arial" w:cs="Arial"/>
          <w:sz w:val="20"/>
          <w:szCs w:val="20"/>
        </w:rPr>
        <w:t xml:space="preserve"> или два кандидата, - фамилии, имена, отчества этих кандидатов) и эмблемы избирательных объединений (если они были представлены в соответствующую комиссию) в одноцветном исполнении.</w:t>
      </w:r>
    </w:p>
    <w:p w:rsidR="005028A0" w:rsidRDefault="005028A0"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7. Справа от указанных в </w:t>
      </w:r>
      <w:hyperlink r:id="rId42" w:history="1">
        <w:r>
          <w:rPr>
            <w:rFonts w:ascii="Arial" w:hAnsi="Arial" w:cs="Arial"/>
            <w:color w:val="0000FF"/>
            <w:sz w:val="20"/>
            <w:szCs w:val="20"/>
          </w:rPr>
          <w:t>пункте 5</w:t>
        </w:r>
      </w:hyperlink>
      <w:r>
        <w:rPr>
          <w:rFonts w:ascii="Arial" w:hAnsi="Arial" w:cs="Arial"/>
          <w:sz w:val="20"/>
          <w:szCs w:val="20"/>
        </w:rPr>
        <w:t xml:space="preserve"> настоящей статьи сведений о каждом зарегистрированном кандидате, от наименования избирательного объединения помещается пустой квадрат. Строка "Против всех кандидатов" ("Против всех списков кандидатов") в избирательном бюллетене не помещается.</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7.1. Если в соответствии с </w:t>
      </w:r>
      <w:hyperlink w:anchor="Par41" w:history="1">
        <w:r>
          <w:rPr>
            <w:rFonts w:ascii="Arial" w:hAnsi="Arial" w:cs="Arial"/>
            <w:color w:val="0000FF"/>
            <w:sz w:val="20"/>
            <w:szCs w:val="20"/>
          </w:rPr>
          <w:t>пунктом 17.1 статьи 24</w:t>
        </w:r>
      </w:hyperlink>
      <w:r>
        <w:rPr>
          <w:rFonts w:ascii="Arial" w:hAnsi="Arial" w:cs="Arial"/>
          <w:sz w:val="20"/>
          <w:szCs w:val="20"/>
        </w:rPr>
        <w:t xml:space="preserve"> настоящего Закона голосование проводится по одной кандидатуре, ниже предусмотренных </w:t>
      </w:r>
      <w:hyperlink r:id="rId43" w:history="1">
        <w:r>
          <w:rPr>
            <w:rFonts w:ascii="Arial" w:hAnsi="Arial" w:cs="Arial"/>
            <w:color w:val="0000FF"/>
            <w:sz w:val="20"/>
            <w:szCs w:val="20"/>
          </w:rPr>
          <w:t>пунктом 5</w:t>
        </w:r>
      </w:hyperlink>
      <w:r>
        <w:rPr>
          <w:rFonts w:ascii="Arial" w:hAnsi="Arial" w:cs="Arial"/>
          <w:sz w:val="20"/>
          <w:szCs w:val="20"/>
        </w:rPr>
        <w:t xml:space="preserve"> настоящей статьи сведений о зарегистрированном кандидате указываются варианты волеизъявления избирателей словами "За" и "Против", справа от которых помещаются пустые квадраты.</w:t>
      </w:r>
    </w:p>
    <w:p w:rsidR="005028A0" w:rsidRDefault="005028A0"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12. Передача бюллетеней участковым избирательным комиссиям осуществляется не </w:t>
      </w:r>
      <w:proofErr w:type="gramStart"/>
      <w:r>
        <w:rPr>
          <w:rFonts w:ascii="Arial" w:hAnsi="Arial" w:cs="Arial"/>
          <w:sz w:val="20"/>
          <w:szCs w:val="20"/>
        </w:rPr>
        <w:t>позднее</w:t>
      </w:r>
      <w:proofErr w:type="gramEnd"/>
      <w:r>
        <w:rPr>
          <w:rFonts w:ascii="Arial" w:hAnsi="Arial" w:cs="Arial"/>
          <w:sz w:val="20"/>
          <w:szCs w:val="20"/>
        </w:rPr>
        <w:t xml:space="preserve"> чем за один день до дня (первого дня) голосования. </w:t>
      </w:r>
      <w:proofErr w:type="gramStart"/>
      <w:r>
        <w:rPr>
          <w:rFonts w:ascii="Arial" w:hAnsi="Arial" w:cs="Arial"/>
          <w:sz w:val="20"/>
          <w:szCs w:val="20"/>
        </w:rPr>
        <w:t xml:space="preserve">По каждому избирательному участку количество передаваемых бюллетеней не может превышать более чем на 0,5 процента (но не менее чем на два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списки избирателей на соответствующем избирательном участке на день передачи бюллетеней, за исключением случая проведения дистанционного электронного голосования в соответствии со </w:t>
      </w:r>
      <w:hyperlink r:id="rId44" w:history="1">
        <w:r>
          <w:rPr>
            <w:rFonts w:ascii="Arial" w:hAnsi="Arial" w:cs="Arial"/>
            <w:color w:val="0000FF"/>
            <w:sz w:val="20"/>
            <w:szCs w:val="20"/>
          </w:rPr>
          <w:t>статьей</w:t>
        </w:r>
        <w:proofErr w:type="gramEnd"/>
        <w:r>
          <w:rPr>
            <w:rFonts w:ascii="Arial" w:hAnsi="Arial" w:cs="Arial"/>
            <w:color w:val="0000FF"/>
            <w:sz w:val="20"/>
            <w:szCs w:val="20"/>
          </w:rPr>
          <w:t xml:space="preserve"> 64.1</w:t>
        </w:r>
      </w:hyperlink>
      <w:r>
        <w:rPr>
          <w:rFonts w:ascii="Arial" w:hAnsi="Arial" w:cs="Arial"/>
          <w:sz w:val="20"/>
          <w:szCs w:val="20"/>
        </w:rPr>
        <w:t xml:space="preserve"> Федерального закона. В этом случае количество передаваемых бюллетеней определяется решением организующей выборы избирательной комиссии, если иное не установлено федеральным законом. На избирательном участке, на котором </w:t>
      </w:r>
      <w:proofErr w:type="gramStart"/>
      <w:r>
        <w:rPr>
          <w:rFonts w:ascii="Arial" w:hAnsi="Arial" w:cs="Arial"/>
          <w:sz w:val="20"/>
          <w:szCs w:val="20"/>
        </w:rPr>
        <w:t>зарегистрированы менее 500 избирателей и используются</w:t>
      </w:r>
      <w:proofErr w:type="gramEnd"/>
      <w:r>
        <w:rPr>
          <w:rFonts w:ascii="Arial" w:hAnsi="Arial" w:cs="Arial"/>
          <w:sz w:val="20"/>
          <w:szCs w:val="20"/>
        </w:rPr>
        <w:t xml:space="preserve"> программно-технические комплексы обработки бюллетеней, количество бюллетеней по решению соответствующей избирательной комиссии может быть увеличено. При передаче бюллетеней участковым избирательным комиссиям производятся их поштучный пересчет и выбраковка, при этом выбракованные бюллетени (при их выявлении) уничтожаются членами комиссии, осуществляющей передачу бюллетеней, о чем составляется акт.</w:t>
      </w:r>
    </w:p>
    <w:p w:rsidR="005028A0" w:rsidRDefault="005028A0"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47. Порядок подсчета голосов избирателей и составления протокола об итогах голосования участковой избирательной комиссией. Обработка итогов голосования в окружных (территориальных) избирательных комиссиях</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Порядок подсчета голосов избирателей и составления протокола об итогах голосования участковой избирательной комиссией, обработки итогов голосования в окружных (территориальных) избирательных комиссиях осуществляется в порядке и сроки, предусмотренные </w:t>
      </w:r>
      <w:hyperlink r:id="rId45" w:history="1">
        <w:r>
          <w:rPr>
            <w:rFonts w:ascii="Arial" w:hAnsi="Arial" w:cs="Arial"/>
            <w:color w:val="0000FF"/>
            <w:sz w:val="20"/>
            <w:szCs w:val="20"/>
          </w:rPr>
          <w:t>статьями 68</w:t>
        </w:r>
      </w:hyperlink>
      <w:r>
        <w:rPr>
          <w:rFonts w:ascii="Arial" w:hAnsi="Arial" w:cs="Arial"/>
          <w:sz w:val="20"/>
          <w:szCs w:val="20"/>
        </w:rPr>
        <w:t xml:space="preserve"> - </w:t>
      </w:r>
      <w:hyperlink r:id="rId46" w:history="1">
        <w:r>
          <w:rPr>
            <w:rFonts w:ascii="Arial" w:hAnsi="Arial" w:cs="Arial"/>
            <w:color w:val="0000FF"/>
            <w:sz w:val="20"/>
            <w:szCs w:val="20"/>
          </w:rPr>
          <w:t>69</w:t>
        </w:r>
      </w:hyperlink>
      <w:r>
        <w:rPr>
          <w:rFonts w:ascii="Arial" w:hAnsi="Arial" w:cs="Arial"/>
          <w:sz w:val="20"/>
          <w:szCs w:val="20"/>
        </w:rPr>
        <w:t xml:space="preserve"> Федерального закона.</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Проверка контрольных соотношений данных, внесенных в протокол об итогах голосования на выборах, проводится в соответствии с </w:t>
      </w:r>
      <w:hyperlink r:id="rId47" w:history="1">
        <w:r>
          <w:rPr>
            <w:rFonts w:ascii="Arial" w:hAnsi="Arial" w:cs="Arial"/>
            <w:color w:val="0000FF"/>
            <w:sz w:val="20"/>
            <w:szCs w:val="20"/>
          </w:rPr>
          <w:t>приложением 5.3</w:t>
        </w:r>
      </w:hyperlink>
      <w:r>
        <w:rPr>
          <w:rFonts w:ascii="Arial" w:hAnsi="Arial" w:cs="Arial"/>
          <w:sz w:val="20"/>
          <w:szCs w:val="20"/>
        </w:rPr>
        <w:t xml:space="preserve"> к настоящему Закону с учетом нумерации строк протокола об итогах голосования, предусмотренной настоящим Законом.</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 xml:space="preserve">Статья 48. Порядок </w:t>
      </w:r>
      <w:proofErr w:type="gramStart"/>
      <w:r>
        <w:rPr>
          <w:rFonts w:ascii="Arial" w:eastAsiaTheme="minorHAnsi" w:hAnsi="Arial" w:cs="Arial"/>
          <w:color w:val="auto"/>
          <w:sz w:val="20"/>
          <w:szCs w:val="20"/>
        </w:rPr>
        <w:t>определения результатов выборов депутатов представительных органов</w:t>
      </w:r>
      <w:proofErr w:type="gramEnd"/>
      <w:r>
        <w:rPr>
          <w:rFonts w:ascii="Arial" w:eastAsiaTheme="minorHAnsi" w:hAnsi="Arial" w:cs="Arial"/>
          <w:color w:val="auto"/>
          <w:sz w:val="20"/>
          <w:szCs w:val="20"/>
        </w:rPr>
        <w:t xml:space="preserve"> муниципальных образований по одномандатному избирательному округу и результатов выборов выборного должностного лица местного самоуправления</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На основании первых экземпляров протоколов об итогах голосования, полученных из нижестоящих комиссий, результаты выборов путем суммирования содержащихся в этих протоколах данных определяет соответствующая избирательная комиссия. Члены соответствующей избирательной комиссии с правом решающего голоса определяют результаты выборов лично. О результатах выборов составляются в двух экземплярах протокол и сводная таблица. Протокол о результатах выборов подписывают все присутствующие члены данной комиссии с правом решающего голоса. Сводную таблицу подписывают председатель (заместитель председателя) и секретарь избирательной комиссии. На основании протокола о результатах выборов избирательная комиссия принимает решение о результатах выборов. В случае проведения голосования, предусмотренного </w:t>
      </w:r>
      <w:hyperlink r:id="rId48" w:history="1">
        <w:r>
          <w:rPr>
            <w:rFonts w:ascii="Arial" w:hAnsi="Arial" w:cs="Arial"/>
            <w:color w:val="0000FF"/>
            <w:sz w:val="20"/>
            <w:szCs w:val="20"/>
          </w:rPr>
          <w:t>пунктом 17 статьи 64</w:t>
        </w:r>
      </w:hyperlink>
      <w:r>
        <w:rPr>
          <w:rFonts w:ascii="Arial" w:hAnsi="Arial" w:cs="Arial"/>
          <w:sz w:val="20"/>
          <w:szCs w:val="20"/>
        </w:rPr>
        <w:t xml:space="preserve"> и (или) </w:t>
      </w:r>
      <w:hyperlink r:id="rId49" w:history="1">
        <w:r>
          <w:rPr>
            <w:rFonts w:ascii="Arial" w:hAnsi="Arial" w:cs="Arial"/>
            <w:color w:val="0000FF"/>
            <w:sz w:val="20"/>
            <w:szCs w:val="20"/>
          </w:rPr>
          <w:t>пунктом 19 статьи 66</w:t>
        </w:r>
      </w:hyperlink>
      <w:r>
        <w:rPr>
          <w:rFonts w:ascii="Arial" w:hAnsi="Arial" w:cs="Arial"/>
          <w:sz w:val="20"/>
          <w:szCs w:val="20"/>
        </w:rPr>
        <w:t xml:space="preserve"> Федерального закона, и (или) досрочного голосования, предусмотренного </w:t>
      </w:r>
      <w:hyperlink r:id="rId50" w:history="1">
        <w:r>
          <w:rPr>
            <w:rFonts w:ascii="Arial" w:hAnsi="Arial" w:cs="Arial"/>
            <w:color w:val="0000FF"/>
            <w:sz w:val="20"/>
            <w:szCs w:val="20"/>
          </w:rPr>
          <w:t>пунктом 17 статьи 65</w:t>
        </w:r>
      </w:hyperlink>
      <w:r>
        <w:rPr>
          <w:rFonts w:ascii="Arial" w:hAnsi="Arial" w:cs="Arial"/>
          <w:sz w:val="20"/>
          <w:szCs w:val="20"/>
        </w:rPr>
        <w:t xml:space="preserve"> Федерального закона, протокол о результатах выборов, сводная таблица должны включать данные такого голосования.</w:t>
      </w:r>
    </w:p>
    <w:p w:rsidR="005028A0" w:rsidRDefault="005028A0"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6. </w:t>
      </w:r>
      <w:proofErr w:type="gramStart"/>
      <w:r>
        <w:rPr>
          <w:rFonts w:ascii="Arial" w:hAnsi="Arial" w:cs="Arial"/>
          <w:sz w:val="20"/>
          <w:szCs w:val="20"/>
        </w:rPr>
        <w:t>Соответствующая избирательная комиссия после определения результатов выборов извещает об этом зарегистрированного кандидата, избранного депутатом, выборным должностным лицом, после чего он обязан в пятидневный срок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выборного должностного лица, либо копии документов, удостоверяющих подачу в установленный срок заявления об освобождении от указанных обязанностей.</w:t>
      </w:r>
      <w:proofErr w:type="gramEnd"/>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lastRenderedPageBreak/>
        <w:t>Статья 48.</w:t>
      </w:r>
      <w:r w:rsidRPr="005028A0">
        <w:rPr>
          <w:rFonts w:ascii="Arial" w:eastAsiaTheme="minorHAnsi" w:hAnsi="Arial" w:cs="Arial"/>
          <w:color w:val="auto"/>
          <w:sz w:val="20"/>
          <w:szCs w:val="20"/>
          <w:vertAlign w:val="superscript"/>
        </w:rPr>
        <w:t>1</w:t>
      </w:r>
      <w:r>
        <w:rPr>
          <w:rFonts w:ascii="Arial" w:eastAsiaTheme="minorHAnsi" w:hAnsi="Arial" w:cs="Arial"/>
          <w:color w:val="auto"/>
          <w:sz w:val="20"/>
          <w:szCs w:val="20"/>
        </w:rPr>
        <w:t>. Определение результатов выборов при проведении выборов депутатов представительного органа муниципального образования по единому избирательному округу</w:t>
      </w:r>
    </w:p>
    <w:p w:rsidR="005028A0" w:rsidRDefault="005028A0"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7. </w:t>
      </w:r>
      <w:proofErr w:type="gramStart"/>
      <w:r>
        <w:rPr>
          <w:rFonts w:ascii="Arial" w:hAnsi="Arial" w:cs="Arial"/>
          <w:sz w:val="20"/>
          <w:szCs w:val="20"/>
        </w:rPr>
        <w:t>Организующая выборы избирательная комиссия после определения результатов выборов извещает об этом зарегистрированного кандидата, избранного депутатом, после чего он обязан в пятидневный срок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либо копии документов, удостоверяющих подачу в установленный срок заявления об освобождении от указанных обязанностей.</w:t>
      </w:r>
      <w:proofErr w:type="gramEnd"/>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48.</w:t>
      </w:r>
      <w:r w:rsidRPr="005028A0">
        <w:rPr>
          <w:rFonts w:ascii="Arial" w:eastAsiaTheme="minorHAnsi" w:hAnsi="Arial" w:cs="Arial"/>
          <w:color w:val="auto"/>
          <w:sz w:val="20"/>
          <w:szCs w:val="20"/>
          <w:vertAlign w:val="superscript"/>
        </w:rPr>
        <w:t>2.</w:t>
      </w:r>
      <w:r>
        <w:rPr>
          <w:rFonts w:ascii="Arial" w:eastAsiaTheme="minorHAnsi" w:hAnsi="Arial" w:cs="Arial"/>
          <w:color w:val="auto"/>
          <w:sz w:val="20"/>
          <w:szCs w:val="20"/>
        </w:rPr>
        <w:t xml:space="preserve"> Распределение депутатских мандатов между списками кандидатов, внутри списка кандидатов</w:t>
      </w:r>
    </w:p>
    <w:p w:rsidR="005028A0" w:rsidRDefault="005028A0"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Число голосов избирателей, полученных каждым списком кандидатов, допущенным к распределению депутатских мандатов, последовательно делится на числа из ряда возрастающих натуральных чисел (делителей) начиная с двух до числа депутатских мандатов, распределяемых по единому избирательному округу.</w:t>
      </w:r>
      <w:proofErr w:type="gramEnd"/>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Полученные по всем спискам кандидатов частные, определенные с точностью до шестого знака после запятой, располагаются по убывающей (в случае равенства числовых значений нескольких частных первым становится частное списка кандидатов, получившего большее число голосов избирателей, а в случае равенства голосов - частное списка кандидатов, зарегистрированного ранее). Частное, порядковый номер которого равен числу распределяемых депутатских мандатов, является избирательной квотой, а число равных ей или превышающих ее частных, которое имеет каждый список кандидатов, допущенный к распределению депутатских мандатов, есть число депутатских мандатов, получаемых соответствующим списком кандидатов. Если в результате распределения депутатских мандатов список кандидатов, допущенный к распределению депутатских мандатов, не получает ни одного депутатского мандата, то этому списку кандидатов передается последний подлежащий распределению депутатский мандат.</w:t>
      </w:r>
    </w:p>
    <w:p w:rsidR="005028A0" w:rsidRDefault="005028A0"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 Депутатские мандаты, полученные списком кандидатов, переходят в первую очередь кандидатам, включенным в </w:t>
      </w:r>
      <w:proofErr w:type="spellStart"/>
      <w:r>
        <w:rPr>
          <w:rFonts w:ascii="Arial" w:hAnsi="Arial" w:cs="Arial"/>
          <w:sz w:val="20"/>
          <w:szCs w:val="20"/>
        </w:rPr>
        <w:t>общемуниципальную</w:t>
      </w:r>
      <w:proofErr w:type="spellEnd"/>
      <w:r>
        <w:rPr>
          <w:rFonts w:ascii="Arial" w:hAnsi="Arial" w:cs="Arial"/>
          <w:sz w:val="20"/>
          <w:szCs w:val="20"/>
        </w:rPr>
        <w:t xml:space="preserve"> часть списка кандидатов.</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5. Оставшиеся после предоставления депутатских мандатов кандидатам из </w:t>
      </w:r>
      <w:proofErr w:type="spellStart"/>
      <w:r>
        <w:rPr>
          <w:rFonts w:ascii="Arial" w:hAnsi="Arial" w:cs="Arial"/>
          <w:sz w:val="20"/>
          <w:szCs w:val="20"/>
        </w:rPr>
        <w:t>общемуниципальной</w:t>
      </w:r>
      <w:proofErr w:type="spellEnd"/>
      <w:r>
        <w:rPr>
          <w:rFonts w:ascii="Arial" w:hAnsi="Arial" w:cs="Arial"/>
          <w:sz w:val="20"/>
          <w:szCs w:val="20"/>
        </w:rPr>
        <w:t xml:space="preserve"> части списка кандидатов депутатские мандаты, причитающиеся данному списку кандидатов, распределяются внутри списка кандидатов между муниципальными частями списка кандидатов, в которых остались кандидаты, следующим образом:</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1) определяется число голосов избирателей, поданных за список кандидатов в каждой из территорий, которым соответствуют муниципальные части списка кандидатов (далее - голоса избирателей, поданные за муниципальные части списка кандидатов);</w:t>
      </w:r>
      <w:proofErr w:type="gramEnd"/>
    </w:p>
    <w:p w:rsidR="00E83D3D" w:rsidRDefault="00E83D3D" w:rsidP="005028A0">
      <w:pPr>
        <w:autoSpaceDE w:val="0"/>
        <w:autoSpaceDN w:val="0"/>
        <w:adjustRightInd w:val="0"/>
        <w:spacing w:after="0" w:line="240" w:lineRule="auto"/>
        <w:ind w:firstLine="540"/>
        <w:jc w:val="both"/>
        <w:rPr>
          <w:rFonts w:ascii="Arial" w:hAnsi="Arial" w:cs="Arial"/>
          <w:sz w:val="20"/>
          <w:szCs w:val="20"/>
        </w:rPr>
      </w:pPr>
      <w:bookmarkStart w:id="3" w:name="Par88"/>
      <w:bookmarkEnd w:id="3"/>
      <w:r>
        <w:rPr>
          <w:rFonts w:ascii="Arial" w:hAnsi="Arial" w:cs="Arial"/>
          <w:sz w:val="20"/>
          <w:szCs w:val="20"/>
        </w:rPr>
        <w:t>2) вычисляется доля (процент) числа голосов избирателей, поданных за муниципальные части списка кандидатов, от общего числа голосов избирателей, принявших участие в голосовании на соответствующей территории;</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 муниципальные части списка кандидатов располагаются в порядке убывания доли (процента), указанной (указанного) в </w:t>
      </w:r>
      <w:hyperlink w:anchor="Par88" w:history="1">
        <w:r>
          <w:rPr>
            <w:rFonts w:ascii="Arial" w:hAnsi="Arial" w:cs="Arial"/>
            <w:color w:val="0000FF"/>
            <w:sz w:val="20"/>
            <w:szCs w:val="20"/>
          </w:rPr>
          <w:t>подпункте 2</w:t>
        </w:r>
      </w:hyperlink>
      <w:r>
        <w:rPr>
          <w:rFonts w:ascii="Arial" w:hAnsi="Arial" w:cs="Arial"/>
          <w:sz w:val="20"/>
          <w:szCs w:val="20"/>
        </w:rPr>
        <w:t xml:space="preserve"> настоящего пункта, и получают поочередно по одному мандату.</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При равенстве указанных долей преимущество отдается той муниципальной части списка кандидатов, за которую было подано большее число голосов избирателей. При равном числе голосов избирателей, поданных за муниципальные части списка кандидатов, преимущество отдается муниципальной части списка кандидатов, определяемой по предложению коллегиального постоянно действующего руководящего органа регионального отделения политической партии. Решение об этом представляется данным органом в организующую выборы избирательную комиссию не позднее семи дней со дня получения соответствующего запроса.</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Законов ЧР от 20.04.2020 </w:t>
      </w:r>
      <w:hyperlink r:id="rId51" w:history="1">
        <w:r>
          <w:rPr>
            <w:rFonts w:ascii="Arial" w:hAnsi="Arial" w:cs="Arial"/>
            <w:color w:val="0000FF"/>
            <w:sz w:val="20"/>
            <w:szCs w:val="20"/>
          </w:rPr>
          <w:t>N 31</w:t>
        </w:r>
      </w:hyperlink>
      <w:r>
        <w:rPr>
          <w:rFonts w:ascii="Arial" w:hAnsi="Arial" w:cs="Arial"/>
          <w:sz w:val="20"/>
          <w:szCs w:val="20"/>
        </w:rPr>
        <w:t xml:space="preserve">, от 26.05.2022 </w:t>
      </w:r>
      <w:hyperlink r:id="rId52" w:history="1">
        <w:r>
          <w:rPr>
            <w:rFonts w:ascii="Arial" w:hAnsi="Arial" w:cs="Arial"/>
            <w:color w:val="0000FF"/>
            <w:sz w:val="20"/>
            <w:szCs w:val="20"/>
          </w:rPr>
          <w:t>N 44</w:t>
        </w:r>
      </w:hyperlink>
      <w:r>
        <w:rPr>
          <w:rFonts w:ascii="Arial" w:hAnsi="Arial" w:cs="Arial"/>
          <w:sz w:val="20"/>
          <w:szCs w:val="20"/>
        </w:rPr>
        <w:t>)</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bookmarkStart w:id="4" w:name="Par92"/>
      <w:bookmarkEnd w:id="4"/>
      <w:r>
        <w:rPr>
          <w:rFonts w:ascii="Arial" w:hAnsi="Arial" w:cs="Arial"/>
          <w:sz w:val="20"/>
          <w:szCs w:val="20"/>
        </w:rPr>
        <w:t xml:space="preserve">6. </w:t>
      </w:r>
      <w:proofErr w:type="gramStart"/>
      <w:r>
        <w:rPr>
          <w:rFonts w:ascii="Arial" w:hAnsi="Arial" w:cs="Arial"/>
          <w:sz w:val="20"/>
          <w:szCs w:val="20"/>
        </w:rPr>
        <w:t xml:space="preserve">Оставшиеся после первоначального распределения депутатских мандатов между муниципальными частями списка кандидатов нераспределенные мандаты передаются муниципальным частям списка кандидатов в такой же очередности в порядке убывания доли (процента), указанной (указанного) в </w:t>
      </w:r>
      <w:hyperlink w:anchor="Par88" w:history="1">
        <w:r>
          <w:rPr>
            <w:rFonts w:ascii="Arial" w:hAnsi="Arial" w:cs="Arial"/>
            <w:color w:val="0000FF"/>
            <w:sz w:val="20"/>
            <w:szCs w:val="20"/>
          </w:rPr>
          <w:t>подпункте 2 пункта 5</w:t>
        </w:r>
      </w:hyperlink>
      <w:r>
        <w:rPr>
          <w:rFonts w:ascii="Arial" w:hAnsi="Arial" w:cs="Arial"/>
          <w:sz w:val="20"/>
          <w:szCs w:val="20"/>
        </w:rPr>
        <w:t xml:space="preserve"> настоящей статьи.</w:t>
      </w:r>
      <w:proofErr w:type="gramEnd"/>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п</w:t>
      </w:r>
      <w:proofErr w:type="gramEnd"/>
      <w:r>
        <w:rPr>
          <w:rFonts w:ascii="Arial" w:hAnsi="Arial" w:cs="Arial"/>
          <w:sz w:val="20"/>
          <w:szCs w:val="20"/>
        </w:rPr>
        <w:t xml:space="preserve">. 6 в ред. </w:t>
      </w:r>
      <w:hyperlink r:id="rId53" w:history="1">
        <w:r>
          <w:rPr>
            <w:rFonts w:ascii="Arial" w:hAnsi="Arial" w:cs="Arial"/>
            <w:color w:val="0000FF"/>
            <w:sz w:val="20"/>
            <w:szCs w:val="20"/>
          </w:rPr>
          <w:t>Закона</w:t>
        </w:r>
      </w:hyperlink>
      <w:r>
        <w:rPr>
          <w:rFonts w:ascii="Arial" w:hAnsi="Arial" w:cs="Arial"/>
          <w:sz w:val="20"/>
          <w:szCs w:val="20"/>
        </w:rPr>
        <w:t xml:space="preserve"> ЧР от 20.04.2020 N 31)</w:t>
      </w: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7. </w:t>
      </w:r>
      <w:proofErr w:type="gramStart"/>
      <w:r>
        <w:rPr>
          <w:rFonts w:ascii="Arial" w:hAnsi="Arial" w:cs="Arial"/>
          <w:sz w:val="20"/>
          <w:szCs w:val="20"/>
        </w:rPr>
        <w:t>Если после первоначального распределения депутатских мандатов внутри списка кандидатов зарегистрированный кандидат отказался от получения депутатского мандата или если зарегистрированный кандидат не сложил несовместимые со статусом депутата представительного органа муниципального образования полномочия, а также если депутатский мандат оказался свободен в силу иных оснований, он передается зарегистрированному кандидату из того же списка кандидатов.</w:t>
      </w:r>
      <w:proofErr w:type="gramEnd"/>
      <w:r>
        <w:rPr>
          <w:rFonts w:ascii="Arial" w:hAnsi="Arial" w:cs="Arial"/>
          <w:sz w:val="20"/>
          <w:szCs w:val="20"/>
        </w:rPr>
        <w:t xml:space="preserve"> Депутатский мандат передается </w:t>
      </w:r>
      <w:proofErr w:type="gramStart"/>
      <w:r>
        <w:rPr>
          <w:rFonts w:ascii="Arial" w:hAnsi="Arial" w:cs="Arial"/>
          <w:sz w:val="20"/>
          <w:szCs w:val="20"/>
        </w:rPr>
        <w:t>первому</w:t>
      </w:r>
      <w:proofErr w:type="gramEnd"/>
      <w:r>
        <w:rPr>
          <w:rFonts w:ascii="Arial" w:hAnsi="Arial" w:cs="Arial"/>
          <w:sz w:val="20"/>
          <w:szCs w:val="20"/>
        </w:rPr>
        <w:t xml:space="preserve"> в порядке очередности зарегистрированному кандидату из числа зарегистрированных кандидатов, не получивших депутатских мандатов и включенных в ту же муниципальную часть списка кандидатов (</w:t>
      </w:r>
      <w:proofErr w:type="spellStart"/>
      <w:r>
        <w:rPr>
          <w:rFonts w:ascii="Arial" w:hAnsi="Arial" w:cs="Arial"/>
          <w:sz w:val="20"/>
          <w:szCs w:val="20"/>
        </w:rPr>
        <w:t>общемуниципальную</w:t>
      </w:r>
      <w:proofErr w:type="spellEnd"/>
      <w:r>
        <w:rPr>
          <w:rFonts w:ascii="Arial" w:hAnsi="Arial" w:cs="Arial"/>
          <w:sz w:val="20"/>
          <w:szCs w:val="20"/>
        </w:rPr>
        <w:t xml:space="preserve"> часть списка кандидатов), что и зарегистрированный кандидат, депутатский мандат которого оказался вакантным. Если в соответствующей муниципальной части списка кандидатов (</w:t>
      </w:r>
      <w:proofErr w:type="spellStart"/>
      <w:r>
        <w:rPr>
          <w:rFonts w:ascii="Arial" w:hAnsi="Arial" w:cs="Arial"/>
          <w:sz w:val="20"/>
          <w:szCs w:val="20"/>
        </w:rPr>
        <w:t>общемуниципальной</w:t>
      </w:r>
      <w:proofErr w:type="spellEnd"/>
      <w:r>
        <w:rPr>
          <w:rFonts w:ascii="Arial" w:hAnsi="Arial" w:cs="Arial"/>
          <w:sz w:val="20"/>
          <w:szCs w:val="20"/>
        </w:rPr>
        <w:t xml:space="preserve"> части списка кандидатов) не имеется зарегистрированных кандидатов, не получивших депутатских мандатов, оказавшийся вакантным депутатский мандат подлежит распределению </w:t>
      </w:r>
      <w:r>
        <w:rPr>
          <w:rFonts w:ascii="Arial" w:hAnsi="Arial" w:cs="Arial"/>
          <w:sz w:val="20"/>
          <w:szCs w:val="20"/>
        </w:rPr>
        <w:lastRenderedPageBreak/>
        <w:t xml:space="preserve">между другими муниципальными частями того же списка кандидатов в соответствии с методикой дополнительного распределения депутатских мандатов, предусмотренной </w:t>
      </w:r>
      <w:hyperlink w:anchor="Par92" w:history="1">
        <w:r>
          <w:rPr>
            <w:rFonts w:ascii="Arial" w:hAnsi="Arial" w:cs="Arial"/>
            <w:color w:val="0000FF"/>
            <w:sz w:val="20"/>
            <w:szCs w:val="20"/>
          </w:rPr>
          <w:t>пунктом 6</w:t>
        </w:r>
      </w:hyperlink>
      <w:r>
        <w:rPr>
          <w:rFonts w:ascii="Arial" w:hAnsi="Arial" w:cs="Arial"/>
          <w:sz w:val="20"/>
          <w:szCs w:val="20"/>
        </w:rPr>
        <w:t xml:space="preserve"> настоящей статьи.</w:t>
      </w:r>
    </w:p>
    <w:p w:rsidR="005028A0" w:rsidRDefault="005028A0" w:rsidP="005028A0">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49. Повторные выборы и дополнительные выборы</w:t>
      </w:r>
    </w:p>
    <w:p w:rsidR="00E83D3D" w:rsidRDefault="00E83D3D" w:rsidP="005028A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6 - 9. Утратили силу. </w:t>
      </w:r>
    </w:p>
    <w:p w:rsidR="005028A0" w:rsidRDefault="005028A0" w:rsidP="005028A0">
      <w:pPr>
        <w:keepNext w:val="0"/>
        <w:keepLines w:val="0"/>
        <w:autoSpaceDE w:val="0"/>
        <w:autoSpaceDN w:val="0"/>
        <w:adjustRightInd w:val="0"/>
        <w:spacing w:before="0" w:line="240" w:lineRule="auto"/>
        <w:rPr>
          <w:rFonts w:ascii="Arial" w:eastAsiaTheme="minorHAnsi" w:hAnsi="Arial" w:cs="Arial"/>
          <w:color w:val="auto"/>
          <w:sz w:val="20"/>
          <w:szCs w:val="20"/>
        </w:rPr>
      </w:pPr>
      <w:r>
        <w:rPr>
          <w:rFonts w:ascii="Arial" w:eastAsiaTheme="minorHAnsi" w:hAnsi="Arial" w:cs="Arial"/>
          <w:color w:val="auto"/>
          <w:sz w:val="20"/>
          <w:szCs w:val="20"/>
        </w:rPr>
        <w:t>…</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IX. ОБЖАЛОВАНИЕ НАРУШЕНИЙ ИЗБИРАТЕЛЬНЫХ ПРАВ</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ГРАЖДАН РОССИЙСКОЙ ФЕДЕРАЦИИ И ОТВЕТСТВЕННОСТЬ</w:t>
      </w:r>
    </w:p>
    <w:p w:rsidR="00E83D3D" w:rsidRDefault="00E83D3D" w:rsidP="005028A0">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 НАРУШЕНИЕ ЗАКОНОДАТЕЛЬСТВА О ВЫБОРАХ</w:t>
      </w:r>
    </w:p>
    <w:p w:rsidR="00E83D3D" w:rsidRDefault="00E83D3D" w:rsidP="005028A0">
      <w:pPr>
        <w:autoSpaceDE w:val="0"/>
        <w:autoSpaceDN w:val="0"/>
        <w:adjustRightInd w:val="0"/>
        <w:spacing w:after="0" w:line="240" w:lineRule="auto"/>
        <w:jc w:val="both"/>
        <w:rPr>
          <w:rFonts w:ascii="Arial" w:hAnsi="Arial" w:cs="Arial"/>
          <w:sz w:val="20"/>
          <w:szCs w:val="20"/>
        </w:rPr>
      </w:pPr>
    </w:p>
    <w:p w:rsidR="00E83D3D" w:rsidRDefault="00E83D3D" w:rsidP="005028A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52. Обжалование решений и действий (бездействия), нарушающих избирательные права граждан Российской Федерации</w:t>
      </w:r>
    </w:p>
    <w:p w:rsidR="00E83D3D" w:rsidRDefault="00E83D3D" w:rsidP="005028A0">
      <w:pPr>
        <w:autoSpaceDE w:val="0"/>
        <w:autoSpaceDN w:val="0"/>
        <w:adjustRightInd w:val="0"/>
        <w:spacing w:after="0" w:line="240" w:lineRule="auto"/>
        <w:jc w:val="both"/>
        <w:rPr>
          <w:rFonts w:ascii="Arial" w:hAnsi="Arial" w:cs="Arial"/>
          <w:sz w:val="20"/>
          <w:szCs w:val="20"/>
        </w:rPr>
      </w:pPr>
    </w:p>
    <w:p w:rsidR="00E83D3D" w:rsidRDefault="00E83D3D" w:rsidP="005028A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Обжалование решений и действий (бездействия), нарушающих избирательные права граждан Российской Федерации, осуществляется в порядке и сроки, установленные Федеральным </w:t>
      </w:r>
      <w:hyperlink r:id="rId54" w:history="1">
        <w:r>
          <w:rPr>
            <w:rFonts w:ascii="Arial" w:hAnsi="Arial" w:cs="Arial"/>
            <w:color w:val="0000FF"/>
            <w:sz w:val="20"/>
            <w:szCs w:val="20"/>
          </w:rPr>
          <w:t>законом</w:t>
        </w:r>
      </w:hyperlink>
      <w:r>
        <w:rPr>
          <w:rFonts w:ascii="Arial" w:hAnsi="Arial" w:cs="Arial"/>
          <w:sz w:val="20"/>
          <w:szCs w:val="20"/>
        </w:rPr>
        <w:t>.</w:t>
      </w:r>
    </w:p>
    <w:p w:rsidR="00672402" w:rsidRDefault="00672402" w:rsidP="005028A0">
      <w:pPr>
        <w:spacing w:after="0"/>
      </w:pPr>
    </w:p>
    <w:sectPr w:rsidR="00672402" w:rsidSect="005028A0">
      <w:pgSz w:w="11906" w:h="16838"/>
      <w:pgMar w:top="1135" w:right="566" w:bottom="709"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D3D"/>
    <w:rsid w:val="005028A0"/>
    <w:rsid w:val="00672402"/>
    <w:rsid w:val="00E83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3047&amp;dst=103529" TargetMode="External"/><Relationship Id="rId18" Type="http://schemas.openxmlformats.org/officeDocument/2006/relationships/hyperlink" Target="https://login.consultant.ru/link/?req=doc&amp;base=RLAW098&amp;n=177704&amp;dst=101215" TargetMode="External"/><Relationship Id="rId26" Type="http://schemas.openxmlformats.org/officeDocument/2006/relationships/hyperlink" Target="https://login.consultant.ru/link/?req=doc&amp;base=LAW&amp;n=466000&amp;dst=100066" TargetMode="External"/><Relationship Id="rId39" Type="http://schemas.openxmlformats.org/officeDocument/2006/relationships/hyperlink" Target="https://login.consultant.ru/link/?req=doc&amp;base=LAW&amp;n=483047&amp;dst=100746" TargetMode="External"/><Relationship Id="rId21" Type="http://schemas.openxmlformats.org/officeDocument/2006/relationships/hyperlink" Target="https://login.consultant.ru/link/?req=doc&amp;base=LAW&amp;n=483047&amp;dst=101499" TargetMode="External"/><Relationship Id="rId34" Type="http://schemas.openxmlformats.org/officeDocument/2006/relationships/hyperlink" Target="https://login.consultant.ru/link/?req=doc&amp;base=LAW&amp;n=483047&amp;dst=101701" TargetMode="External"/><Relationship Id="rId42" Type="http://schemas.openxmlformats.org/officeDocument/2006/relationships/hyperlink" Target="https://login.consultant.ru/link/?req=doc&amp;base=RLAW098&amp;n=177704&amp;dst=101105" TargetMode="External"/><Relationship Id="rId47" Type="http://schemas.openxmlformats.org/officeDocument/2006/relationships/hyperlink" Target="https://login.consultant.ru/link/?req=doc&amp;base=RLAW098&amp;n=177704&amp;dst=101459" TargetMode="External"/><Relationship Id="rId50" Type="http://schemas.openxmlformats.org/officeDocument/2006/relationships/hyperlink" Target="https://login.consultant.ru/link/?req=doc&amp;base=LAW&amp;n=483047&amp;dst=103529" TargetMode="External"/><Relationship Id="rId55" Type="http://schemas.openxmlformats.org/officeDocument/2006/relationships/fontTable" Target="fontTable.xml"/><Relationship Id="rId7" Type="http://schemas.openxmlformats.org/officeDocument/2006/relationships/hyperlink" Target="https://login.consultant.ru/link/?req=doc&amp;base=LAW&amp;n=451845" TargetMode="External"/><Relationship Id="rId12" Type="http://schemas.openxmlformats.org/officeDocument/2006/relationships/hyperlink" Target="https://login.consultant.ru/link/?req=doc&amp;base=LAW&amp;n=483047&amp;dst=103531" TargetMode="External"/><Relationship Id="rId17" Type="http://schemas.openxmlformats.org/officeDocument/2006/relationships/hyperlink" Target="https://login.consultant.ru/link/?req=doc&amp;base=RLAW098&amp;n=177704&amp;dst=101215" TargetMode="External"/><Relationship Id="rId25" Type="http://schemas.openxmlformats.org/officeDocument/2006/relationships/hyperlink" Target="https://login.consultant.ru/link/?req=doc&amp;base=LAW&amp;n=466000&amp;dst=100065" TargetMode="External"/><Relationship Id="rId33" Type="http://schemas.openxmlformats.org/officeDocument/2006/relationships/hyperlink" Target="https://login.consultant.ru/link/?req=doc&amp;base=RLAW098&amp;n=177704&amp;dst=101296" TargetMode="External"/><Relationship Id="rId38" Type="http://schemas.openxmlformats.org/officeDocument/2006/relationships/hyperlink" Target="https://login.consultant.ru/link/?req=doc&amp;base=LAW&amp;n=483047&amp;dst=100695" TargetMode="External"/><Relationship Id="rId46" Type="http://schemas.openxmlformats.org/officeDocument/2006/relationships/hyperlink" Target="https://login.consultant.ru/link/?req=doc&amp;base=LAW&amp;n=483047&amp;dst=101070"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83047&amp;dst=103529" TargetMode="External"/><Relationship Id="rId20" Type="http://schemas.openxmlformats.org/officeDocument/2006/relationships/hyperlink" Target="https://login.consultant.ru/link/?req=doc&amp;base=LAW&amp;n=483047&amp;dst=262" TargetMode="External"/><Relationship Id="rId29" Type="http://schemas.openxmlformats.org/officeDocument/2006/relationships/hyperlink" Target="https://login.consultant.ru/link/?req=doc&amp;base=RLAW098&amp;n=177704&amp;dst=100972" TargetMode="External"/><Relationship Id="rId41" Type="http://schemas.openxmlformats.org/officeDocument/2006/relationships/hyperlink" Target="https://login.consultant.ru/link/?req=doc&amp;base=LAW&amp;n=483047&amp;dst=103023" TargetMode="External"/><Relationship Id="rId54" Type="http://schemas.openxmlformats.org/officeDocument/2006/relationships/hyperlink" Target="https://login.consultant.ru/link/?req=doc&amp;base=LAW&amp;n=483047&amp;dst=101149" TargetMode="External"/><Relationship Id="rId1" Type="http://schemas.openxmlformats.org/officeDocument/2006/relationships/styles" Target="styles.xml"/><Relationship Id="rId6" Type="http://schemas.openxmlformats.org/officeDocument/2006/relationships/hyperlink" Target="https://login.consultant.ru/link/?req=doc&amp;base=RLAW098&amp;n=177704&amp;dst=100048" TargetMode="External"/><Relationship Id="rId11" Type="http://schemas.openxmlformats.org/officeDocument/2006/relationships/hyperlink" Target="https://login.consultant.ru/link/?req=doc&amp;base=LAW&amp;n=483047&amp;dst=103527" TargetMode="External"/><Relationship Id="rId24" Type="http://schemas.openxmlformats.org/officeDocument/2006/relationships/hyperlink" Target="https://login.consultant.ru/link/?req=doc&amp;base=RLAW098&amp;n=177704&amp;dst=101216" TargetMode="External"/><Relationship Id="rId32" Type="http://schemas.openxmlformats.org/officeDocument/2006/relationships/hyperlink" Target="https://login.consultant.ru/link/?req=doc&amp;base=RLAW098&amp;n=177704&amp;dst=101286" TargetMode="External"/><Relationship Id="rId37" Type="http://schemas.openxmlformats.org/officeDocument/2006/relationships/hyperlink" Target="https://login.consultant.ru/link/?req=doc&amp;base=LAW&amp;n=483047&amp;dst=100685" TargetMode="External"/><Relationship Id="rId40" Type="http://schemas.openxmlformats.org/officeDocument/2006/relationships/hyperlink" Target="https://login.consultant.ru/link/?req=doc&amp;base=RLAW098&amp;n=150833&amp;dst=100126" TargetMode="External"/><Relationship Id="rId45" Type="http://schemas.openxmlformats.org/officeDocument/2006/relationships/hyperlink" Target="https://login.consultant.ru/link/?req=doc&amp;base=LAW&amp;n=483047&amp;dst=101007" TargetMode="External"/><Relationship Id="rId53" Type="http://schemas.openxmlformats.org/officeDocument/2006/relationships/hyperlink" Target="https://login.consultant.ru/link/?req=doc&amp;base=RLAW098&amp;n=125263&amp;dst=100014" TargetMode="External"/><Relationship Id="rId5" Type="http://schemas.openxmlformats.org/officeDocument/2006/relationships/hyperlink" Target="https://login.consultant.ru/link/?req=doc&amp;base=RLAW098&amp;n=177704&amp;dst=100043" TargetMode="External"/><Relationship Id="rId15" Type="http://schemas.openxmlformats.org/officeDocument/2006/relationships/hyperlink" Target="https://login.consultant.ru/link/?req=doc&amp;base=LAW&amp;n=483047&amp;dst=103531" TargetMode="External"/><Relationship Id="rId23" Type="http://schemas.openxmlformats.org/officeDocument/2006/relationships/hyperlink" Target="https://login.consultant.ru/link/?req=doc&amp;base=LAW&amp;n=483047&amp;dst=103499" TargetMode="External"/><Relationship Id="rId28" Type="http://schemas.openxmlformats.org/officeDocument/2006/relationships/hyperlink" Target="https://login.consultant.ru/link/?req=doc&amp;base=RLAW098&amp;n=177704&amp;dst=101269" TargetMode="External"/><Relationship Id="rId36" Type="http://schemas.openxmlformats.org/officeDocument/2006/relationships/hyperlink" Target="https://login.consultant.ru/link/?req=doc&amp;base=RLAW098&amp;n=177704&amp;dst=101068" TargetMode="External"/><Relationship Id="rId49" Type="http://schemas.openxmlformats.org/officeDocument/2006/relationships/hyperlink" Target="https://login.consultant.ru/link/?req=doc&amp;base=LAW&amp;n=483047&amp;dst=103531" TargetMode="External"/><Relationship Id="rId10" Type="http://schemas.openxmlformats.org/officeDocument/2006/relationships/hyperlink" Target="https://login.consultant.ru/link/?req=doc&amp;base=LAW&amp;n=483047&amp;dst=103529" TargetMode="External"/><Relationship Id="rId19" Type="http://schemas.openxmlformats.org/officeDocument/2006/relationships/hyperlink" Target="https://login.consultant.ru/link/?req=doc&amp;base=LAW&amp;n=483047&amp;dst=101494" TargetMode="External"/><Relationship Id="rId31" Type="http://schemas.openxmlformats.org/officeDocument/2006/relationships/hyperlink" Target="https://login.consultant.ru/link/?req=doc&amp;base=RLAW098&amp;n=177704&amp;dst=101284" TargetMode="External"/><Relationship Id="rId44" Type="http://schemas.openxmlformats.org/officeDocument/2006/relationships/hyperlink" Target="https://login.consultant.ru/link/?req=doc&amp;base=LAW&amp;n=483047&amp;dst=103372" TargetMode="External"/><Relationship Id="rId52" Type="http://schemas.openxmlformats.org/officeDocument/2006/relationships/hyperlink" Target="https://login.consultant.ru/link/?req=doc&amp;base=RLAW098&amp;n=150726&amp;dst=10014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3047&amp;dst=103531" TargetMode="External"/><Relationship Id="rId14" Type="http://schemas.openxmlformats.org/officeDocument/2006/relationships/hyperlink" Target="https://login.consultant.ru/link/?req=doc&amp;base=LAW&amp;n=483047&amp;dst=103527" TargetMode="External"/><Relationship Id="rId22" Type="http://schemas.openxmlformats.org/officeDocument/2006/relationships/hyperlink" Target="https://login.consultant.ru/link/?req=doc&amp;base=LAW&amp;n=483047&amp;dst=276" TargetMode="External"/><Relationship Id="rId27" Type="http://schemas.openxmlformats.org/officeDocument/2006/relationships/hyperlink" Target="https://login.consultant.ru/link/?req=doc&amp;base=RLAW098&amp;n=177704&amp;dst=100971" TargetMode="External"/><Relationship Id="rId30" Type="http://schemas.openxmlformats.org/officeDocument/2006/relationships/hyperlink" Target="https://login.consultant.ru/link/?req=doc&amp;base=RLAW098&amp;n=177704&amp;dst=101240" TargetMode="External"/><Relationship Id="rId35" Type="http://schemas.openxmlformats.org/officeDocument/2006/relationships/hyperlink" Target="https://login.consultant.ru/link/?req=doc&amp;base=LAW&amp;n=483047&amp;dst=101775" TargetMode="External"/><Relationship Id="rId43" Type="http://schemas.openxmlformats.org/officeDocument/2006/relationships/hyperlink" Target="https://login.consultant.ru/link/?req=doc&amp;base=RLAW098&amp;n=177704&amp;dst=100395" TargetMode="External"/><Relationship Id="rId48" Type="http://schemas.openxmlformats.org/officeDocument/2006/relationships/hyperlink" Target="https://login.consultant.ru/link/?req=doc&amp;base=LAW&amp;n=483047&amp;dst=103527" TargetMode="External"/><Relationship Id="rId56" Type="http://schemas.openxmlformats.org/officeDocument/2006/relationships/theme" Target="theme/theme1.xml"/><Relationship Id="rId8" Type="http://schemas.openxmlformats.org/officeDocument/2006/relationships/hyperlink" Target="https://login.consultant.ru/link/?req=doc&amp;base=LAW&amp;n=483047&amp;dst=103527" TargetMode="External"/><Relationship Id="rId51" Type="http://schemas.openxmlformats.org/officeDocument/2006/relationships/hyperlink" Target="https://login.consultant.ru/link/?req=doc&amp;base=RLAW098&amp;n=125263&amp;dst=100008"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5034</Words>
  <Characters>28695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Трофимова Кристина Юрьевна</cp:lastModifiedBy>
  <cp:revision>1</cp:revision>
  <dcterms:created xsi:type="dcterms:W3CDTF">2025-04-22T12:31:00Z</dcterms:created>
  <dcterms:modified xsi:type="dcterms:W3CDTF">2025-04-22T12:45:00Z</dcterms:modified>
</cp:coreProperties>
</file>