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ru-RU"/>
              </w:rPr>
            </w:pPr>
            <w:bookmarkStart w:id="0" w:name="_GoBack" w:colFirst="2" w:colLast="2"/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spacing w:after="0" w:line="240" w:lineRule="auto"/>
              <w:ind w:left="-112" w:right="-102"/>
              <w:jc w:val="center"/>
              <w:rPr>
                <w:rFonts w:ascii="Baltica Chv" w:hAnsi="Baltica Chv"/>
                <w:b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Baltica Chv" w:hAnsi="Baltica Chv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</w:tc>
        <w:tc>
          <w:tcPr>
            <w:tcW w:w="1588" w:type="dxa"/>
          </w:tcPr>
          <w:p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1980" cy="8077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ваш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spacing w:after="0" w:line="240" w:lineRule="auto"/>
              <w:rPr>
                <w:rFonts w:ascii="Baltica Chv" w:hAnsi="Baltica Chv"/>
                <w:b/>
                <w:spacing w:val="40"/>
                <w:sz w:val="8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Пух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>=</w:t>
            </w:r>
            <w:r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  <w:t>в</w:t>
            </w:r>
            <w:r>
              <w:rPr>
                <w:rFonts w:ascii="Baltica Chv" w:hAnsi="Baltica Chv"/>
                <w:b/>
                <w:spacing w:val="40"/>
                <w:szCs w:val="20"/>
                <w:lang w:eastAsia="ru-RU"/>
              </w:rPr>
              <w:t>\</w:t>
            </w:r>
          </w:p>
          <w:p>
            <w:pPr>
              <w:spacing w:after="0" w:line="240" w:lineRule="auto"/>
              <w:jc w:val="center"/>
              <w:rPr>
                <w:rFonts w:ascii="Baltica Chv" w:hAnsi="Baltica Chv"/>
                <w:b/>
                <w:spacing w:val="40"/>
                <w:szCs w:val="24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  <w:lang w:eastAsia="ru-RU"/>
              </w:rPr>
              <w:t>ЙЫШ</w:t>
            </w:r>
            <w:r>
              <w:rPr>
                <w:rFonts w:ascii="Baltica Chv" w:hAnsi="Baltica Chv"/>
                <w:b/>
                <w:szCs w:val="20"/>
                <w:lang w:eastAsia="ru-RU"/>
              </w:rPr>
              <w:t>+</w:t>
            </w:r>
            <w:r>
              <w:rPr>
                <w:rFonts w:ascii="Times New Roman" w:hAnsi="Times New Roman"/>
                <w:b/>
                <w:szCs w:val="20"/>
                <w:lang w:eastAsia="ru-RU"/>
              </w:rPr>
              <w:t>НУ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hAnsi="Times New Roman"/>
                <w:b/>
                <w:spacing w:val="40"/>
                <w:szCs w:val="20"/>
                <w:lang w:eastAsia="ru-RU"/>
              </w:rPr>
            </w:pPr>
          </w:p>
        </w:tc>
      </w:tr>
    </w:tbl>
    <w:bookmarkEnd w:id="0"/>
    <w:p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4 марта 2025 года № 1937</w:t>
      </w:r>
    </w:p>
    <w:p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right="436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Об отчете о результатах работы </w:t>
      </w:r>
      <w:r>
        <w:rPr>
          <w:rFonts w:ascii="Times New Roman" w:hAnsi="Times New Roman"/>
          <w:bCs/>
          <w:sz w:val="28"/>
          <w:szCs w:val="26"/>
        </w:rPr>
        <w:t>Контрольно-счетной палаты Чувашской Республики за 2024 год в рамках переданных полномочий по внешнему муниципальному финансовому контролю по городу Чебоксары Чувашской Республики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>
      <w:pPr>
        <w:tabs>
          <w:tab w:val="left" w:pos="9072"/>
        </w:tabs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6 октября 2003 года                           № 131–ФЗ «Об общих принципах организации местного самоуправления в Российской Федерации», от 7 февраля 2011 года № 6–ФЗ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Уставом городского округа город Чебоксары Чувашской Республики, принятым решением Чебоксарского городского Собрания депутатов от 30 ноября 2005 года № 40,</w:t>
      </w:r>
    </w:p>
    <w:p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Чебоксарское городское Собрание депутатов</w:t>
      </w:r>
    </w:p>
    <w:p>
      <w:pPr>
        <w:spacing w:after="12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РЕШИЛО: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Отчет Контрольно-счетной палаты Чувашской Республики о результатах работы за 2024 год в рамках переданных полномочий по внешнему муниципальному финансовому контролю по городу Чебоксары Чувашской Республики </w:t>
      </w:r>
      <w:r>
        <w:rPr>
          <w:rFonts w:ascii="Times New Roman" w:hAnsi="Times New Roman"/>
          <w:sz w:val="28"/>
          <w:szCs w:val="28"/>
        </w:rPr>
        <w:t>принять к сведению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(прилагается).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Опубликовать настоящее решение на сайте Чебоксарского городского Собрания депутатов в информационно-телекоммуникационной сети «Интернет».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395"/>
      </w:tblGrid>
      <w:tr>
        <w:tc>
          <w:tcPr>
            <w:tcW w:w="4537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Чебоксарского городского Собрания депутатов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 Е.Н. Кадышев</w:t>
            </w:r>
          </w:p>
        </w:tc>
        <w:tc>
          <w:tcPr>
            <w:tcW w:w="708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142" w:right="-144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>
            <w:pPr>
              <w:tabs>
                <w:tab w:val="left" w:pos="993"/>
                <w:tab w:val="left" w:pos="7371"/>
              </w:tabs>
              <w:spacing w:after="0" w:line="240" w:lineRule="auto"/>
              <w:ind w:left="360" w:right="-8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города Чебоксары                                                                 </w:t>
            </w: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right="-8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tabs>
                <w:tab w:val="left" w:pos="993"/>
                <w:tab w:val="left" w:pos="7371"/>
              </w:tabs>
              <w:spacing w:after="0" w:line="264" w:lineRule="auto"/>
              <w:ind w:left="360" w:right="-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 В.А. Доброхотов</w:t>
            </w:r>
          </w:p>
        </w:tc>
      </w:tr>
    </w:tbl>
    <w:p>
      <w:pPr>
        <w:keepNext/>
        <w:keepLines/>
        <w:tabs>
          <w:tab w:val="left" w:pos="697"/>
          <w:tab w:val="left" w:pos="7749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>
      <w:pPr>
        <w:keepNext/>
        <w:keepLines/>
        <w:tabs>
          <w:tab w:val="left" w:pos="697"/>
          <w:tab w:val="left" w:pos="7749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решению Чебоксарского городского Собрания депутатов </w:t>
      </w:r>
    </w:p>
    <w:p>
      <w:pPr>
        <w:keepNext/>
        <w:keepLines/>
        <w:tabs>
          <w:tab w:val="left" w:pos="697"/>
          <w:tab w:val="left" w:pos="7749"/>
          <w:tab w:val="left" w:pos="9360"/>
        </w:tabs>
        <w:suppressAutoHyphens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4 марта 2025 года № 1937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Отчет </w:t>
      </w:r>
    </w:p>
    <w:p>
      <w:pPr>
        <w:spacing w:after="0" w:line="240" w:lineRule="auto"/>
        <w:ind w:right="-3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 результатах работы </w:t>
      </w:r>
      <w:r>
        <w:rPr>
          <w:rFonts w:ascii="Times New Roman" w:hAnsi="Times New Roman"/>
          <w:b/>
          <w:bCs/>
          <w:sz w:val="28"/>
          <w:szCs w:val="26"/>
        </w:rPr>
        <w:t>Контрольно-счетной палаты Чувашской Республики за 2024 год в рамках переданных полномочий по внешнему муниципальному финансовому контролю по городу Чебоксары Чувашской Республики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палата Чувашской Республики (далее – КСП Чувашии) осуществляет свою деятельность на основе действующего законодательства Российской Федерации, Чувашской Республики, в соответствии с годовым планом работы КСП Чувашии и текущими квартальными планами работы.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полномочий, определенных законодательством, КСП Чувашии осуществляет внешний государственный финансовый контроль и внешний муниципальный финансовый контроль в форме контрольных и экспертно-аналитических мероприятий.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в рамках реализации полномочий по осуществлению внешнего муниципального финансового контроля в городе Чебоксары Чувашской Республики (далее – г. Чебоксары) проведено 30 экспертно-аналитических мероприятий (далее – ЭАМ) и 4 контрольных мероприятия (далее – КМ).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КСП Чувашии в 2024 году в соответствии с БК РФ осуществлены следующие полномочия: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осуществления предварительного контроля проведены экспертизы 5 проектов решений о внесении изменений в бюджет г. Чебоксары на 2024–2026 годы и проекта решения о бюджете г. Чебоксары на 2025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2027 годы;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проведен последующий контроль путем проведения внешней проверки бюджетной отчетности главных администраторов бюджетных средств и отчета об исполнении бюджета г. Чебоксары за 2023 год;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экспертиза 2 проектов муниципальных программ.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ЭАМ подготовлено 27 заключений, отчетов, аналитических записок, направлено 46 информационных писем в представительный орган, органы местного самоуправления и иные органы.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114 нарушений (из них 35 финансовых нарушений) на сумму </w:t>
      </w:r>
      <w:r>
        <w:rPr>
          <w:rFonts w:ascii="Times New Roman" w:hAnsi="Times New Roman"/>
          <w:sz w:val="28"/>
          <w:szCs w:val="28"/>
        </w:rPr>
        <w:br/>
        <w:t>232 897,1 тыс. рублей, в т.ч.: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- 34 нарушения по формированию и исполнению бюджетов;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- 35 нарушений (из них 8 финансовых нарушений) по ведению бухгалтерского учета, составления и представления бухгалтерской (финансовой) отчетности в сумме 184 180,9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- 4 нарушения в сфере управления и распоряжения государственной (муниципальной) и иной собственностью по формированию и исполнению бюджетов;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- 40 нарушений (из них 27 финансовых нарушений) при осуществлении государственных (муниципальных) закупок и закупок отдельными видами юридических лиц в сумме 48 716,2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- 1 иное нарушение.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результатам ЭАМ выявлено 6 случаев неэффективного использования средств на сумму 38 987,9 тыс. рублей.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Предотвращено в рамках ЭАМ 134 486,6 тыс. рублей, что составляет 57,7 процентов от общего объема нарушений.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средств, подлежащая возмещению в бюджет, составила </w:t>
      </w:r>
      <w:r>
        <w:rPr>
          <w:rFonts w:ascii="Times New Roman" w:hAnsi="Times New Roman"/>
          <w:sz w:val="28"/>
          <w:szCs w:val="28"/>
        </w:rPr>
        <w:br/>
        <w:t>13 940,4 тыс. рублей, возмещены финансовые потери и нарушения в полном объеме (13 940,4 тыс. рублей).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рамках осуществления полномочий по внешнему государственному финансовому контролю Контрольно-счетной палатой в отношении города Чебоксары в 2024 году проведено 1 экспертно-аналитическое мероприятие («Анализ реализации заключенных </w:t>
      </w:r>
      <w:r>
        <w:rPr>
          <w:rFonts w:ascii="Times New Roman" w:hAnsi="Times New Roman"/>
          <w:sz w:val="28"/>
          <w:szCs w:val="28"/>
        </w:rPr>
        <w:lastRenderedPageBreak/>
        <w:t>концессионных соглашений в сфере жилищно-коммунального хозяйства» за 2021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2023 годы и истекший период 2024 года»), в рамках которых отмечены отдельные нарушения и недостатки.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в г. Чебоксары проведены 4 КМ по вопросам использования бюджетных средств, выделенных муниципальным образовательным организациям на укрепление материально-технической базы; соблюдения установленного порядка управления и распоряжения муниципальным имуществом, и результатов финансово-хозяйственной деятельности муниципальных унитарных предприятий и акционерных обществ, обществ с ограниченной ответственностью, акции, доли в уставных капиталах которых находятся в собственности муниципальных образований; использования бюджетных средств, выделенных учреждениям культуры и отдыха города Чебоксары; реализации концессионных соглашений, заключенных с ПАО                  «Т Плюс» в отношении объектов сфере теплоснабжения.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КМ подготовлено 13 актов проверки, вынесено                                 4 представления и направлено 16 информационных писем в представительный орган, органы местного самоуправления и иные органы (органы прокуратуры, антимонопольной службы и т.д.).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298 нарушений (из них 59 финансовых нарушений) на сумму </w:t>
      </w:r>
      <w:r>
        <w:rPr>
          <w:rFonts w:ascii="Times New Roman" w:hAnsi="Times New Roman"/>
          <w:sz w:val="28"/>
          <w:szCs w:val="28"/>
        </w:rPr>
        <w:br/>
        <w:t>32 324,2 тыс. рублей, в т.ч.: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- 60 нарушений (из них 30 финансовых нарушений) по формированию и исполнению бюджетов на сумму 13 878,8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- 56 нарушений (из них 12 финансовых нарушений) по ведению бухгалтерского учета, составления и представления бухгалтерской (финансовой) отчетности на сумму 4 257,6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- 78 нарушений (из них 8 финансовых нарушений) в сфере управления и распоряжения государственной (муниципальной) собственностью на сумму </w:t>
      </w:r>
      <w:r>
        <w:rPr>
          <w:rFonts w:ascii="Times New Roman" w:hAnsi="Times New Roman"/>
          <w:sz w:val="28"/>
          <w:szCs w:val="28"/>
        </w:rPr>
        <w:br/>
        <w:t>270,2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- 63 нарушения (из них 6 финансовых нарушений) при осуществлении государственных (муниципальных) закупок и закупок отдельными видами юридических лиц на сумму 11 290,9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- 39 нарушений (из них 3 финансовых нарушения) в сфере деятельности государственных корпораций, государственных компаний, организаций с участием РФ в их уставных (складочных) капиталах и иных организаций, в т.ч. при использовании ими имущества, находящегося в государственной (муниципальной) собственности на сумму 2 626,7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- 2 иных нарушения.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результатам КМ выявлено 25 случаев неэффективного использования средств на сумму 72 443,4 тыс. рублей, 3 случая нецелевого использования бюджетных средств на сумму 60,0 тыс. рублей.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Предотвращены финансовые потери и нарушения на сумму </w:t>
      </w:r>
      <w:r>
        <w:rPr>
          <w:rFonts w:ascii="Times New Roman" w:hAnsi="Times New Roman"/>
          <w:sz w:val="28"/>
          <w:szCs w:val="28"/>
        </w:rPr>
        <w:br/>
        <w:t>204,2 тыс. рублей.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средств, подлежащая возмещению в бюджет, составила </w:t>
      </w:r>
      <w:r>
        <w:rPr>
          <w:rFonts w:ascii="Times New Roman" w:hAnsi="Times New Roman"/>
          <w:sz w:val="28"/>
          <w:szCs w:val="28"/>
        </w:rPr>
        <w:br/>
        <w:t xml:space="preserve">20 889,2 тыс. рублей, возмещены финансовые потери и нарушения на сумму </w:t>
      </w:r>
      <w:r>
        <w:rPr>
          <w:rFonts w:ascii="Times New Roman" w:hAnsi="Times New Roman"/>
          <w:sz w:val="28"/>
          <w:szCs w:val="28"/>
        </w:rPr>
        <w:br/>
        <w:t>4 324,8 тыс. рублей.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ЭАМ и КМ объектам контроля по г. Чебоксары необходимо было разработать (внести изменения в существующие) 22 нормативно-правовых акта (далее – НПА), локальных актов. Разработаны (внесены изменения) 15 НПА, локальных актов.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рамках осуществления полномочий по внешнему государственному финансовому контролю по г. Чебоксары в 2024 году проведено 2 КМ, которым выявлено 35 нарушений (из них 11 финансовых нарушений) на сумму 4 163,0 тыс. рублей, в т.ч.: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- 13 нарушений (из них 5 финансовых нарушений) по формированию и исполнению бюджетов на сумму 2 280,0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- 3 нарушения по ведению бухгалтерского учета, составления и представления бухгалтерской (финансовой) отчетности;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- 3 нарушения (из них 3 финансовых нарушения) в сфере управления и распоряжения государственной (муниципальной) собственностью на сумму 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1 762,3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- 15 нарушений (из них 3 финансовых нарушения) при осуществлении государственных (муниципальных) закупок и закупок отдельными видами юридических лиц на сумму 120,7 тыс. рублей;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- 1 иное нарушение.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результатам КМ выявлен 1 случай неэффективного использования средств на сумму 454,5 тыс. рублей.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внешнего государственного финансового контроля подготовлено 3 акта проверки, вынесено 1 представление, направлены 4 информационных письма в различные органы (органы прокуратуры, антимонопольной службы и т.д.).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результатам ЭАМ и КМ в рамках внешнего муниципального и государственного финансового контроля должностными лицами КСП Чувашии составлено 7 протоколов, к административной ответственности привлечены 4 должностных лица в виде административного штрафа на общую сумму 60 тыс. рублей, 1 должностное лицо в виде предупреждения, 2 дела об административном правонарушении находятся на рассмотрении.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всех проведенных мероприятий КСП Чувашии установила контроль за устранением выявленных недостатков, а также выполнением объектами контроля направленных в их адрес рекомендаций и информационных писем.</w:t>
      </w:r>
    </w:p>
    <w:p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принципа открытости и гласности на сайте КСП Чувашии размещена вся информация (в т.ч. материалы по результатам проведенных ЭАМ и КМ) о деятельности КСП Чувашии (https://kcp.cap.ru/work/deyateljnstj).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8"/>
      <w:headerReference w:type="first" r:id="rId9"/>
      <w:pgSz w:w="11906" w:h="16838"/>
      <w:pgMar w:top="993" w:right="73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272751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7E59B-F59F-4C19-9BCF-E59D361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72D-79FD-45EA-B781-1BF4659D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Королева МА</dc:creator>
  <cp:keywords/>
  <dc:description/>
  <cp:lastModifiedBy>gcheb_chgsd4</cp:lastModifiedBy>
  <cp:revision>11</cp:revision>
  <cp:lastPrinted>2025-03-11T07:56:00Z</cp:lastPrinted>
  <dcterms:created xsi:type="dcterms:W3CDTF">2025-02-05T13:43:00Z</dcterms:created>
  <dcterms:modified xsi:type="dcterms:W3CDTF">2025-03-13T08:09:00Z</dcterms:modified>
</cp:coreProperties>
</file>