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2"/>
        <w:jc w:val="center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 w:eastAsiaTheme="majorEastAsia"/>
          <w:sz w:val="26"/>
          <w:szCs w:val="26"/>
        </w:rPr>
        <w:t xml:space="preserve">                                                                       У</w:t>
      </w:r>
      <w:r>
        <w:rPr>
          <w:rFonts w:ascii="Times New Roman" w:hAnsi="Times New Roman" w:eastAsia="Times New Roman" w:cs="Times New Roman" w:eastAsiaTheme="majorEastAsia"/>
          <w:sz w:val="26"/>
          <w:szCs w:val="26"/>
        </w:rPr>
        <w:t xml:space="preserve">ТВЕРЖДАЮ</w:t>
      </w:r>
      <w:r>
        <w:rPr>
          <w:rFonts w:ascii="Times New Roman" w:hAnsi="Times New Roman" w:eastAsia="Times New Roman" w:cs="Times New Roman" w:eastAsiaTheme="majorEastAsia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left="4680"/>
        <w:jc w:val="center"/>
        <w:rPr>
          <w:rFonts w:ascii="Times New Roman" w:hAnsi="Times New Roman" w:cs="Times New Roman"/>
          <w:sz w:val="26"/>
          <w:szCs w:val="26"/>
        </w:rPr>
        <w:outlineLvl w:val="0"/>
      </w:pPr>
      <w:r>
        <w:rPr>
          <w:rFonts w:ascii="Times New Roman" w:hAnsi="Times New Roman" w:eastAsia="Times New Roman" w:cs="Times New Roman" w:eastAsiaTheme="majorEastAsia"/>
          <w:sz w:val="26"/>
          <w:szCs w:val="26"/>
        </w:rPr>
        <w:t xml:space="preserve">Министр промышленности и энергетики Чувашской Республики</w:t>
      </w:r>
      <w:r>
        <w:rPr>
          <w:rFonts w:ascii="Times New Roman" w:hAnsi="Times New Roman" w:eastAsia="Times New Roman" w:cs="Times New Roman" w:eastAsiaTheme="majorEastAsia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4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6"/>
          <w:szCs w:val="26"/>
        </w:rPr>
        <w:t xml:space="preserve">     ______________  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С.Н. Лекарев</w:t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42"/>
        <w:jc w:val="right"/>
        <w:rPr>
          <w:sz w:val="26"/>
          <w:szCs w:val="26"/>
        </w:rPr>
      </w:pP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bCs/>
          <w:sz w:val="26"/>
          <w:szCs w:val="26"/>
          <w:highlight w:val="none"/>
        </w:rPr>
      </w:r>
      <w:r>
        <w:rPr>
          <w:sz w:val="26"/>
          <w:szCs w:val="26"/>
        </w:rPr>
      </w:r>
    </w:p>
    <w:p>
      <w:pPr>
        <w:pStyle w:val="742"/>
        <w:jc w:val="right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Cs/>
          <w:sz w:val="26"/>
          <w:szCs w:val="26"/>
        </w:rPr>
        <w:t xml:space="preserve">«___» __________ 20____ г.</w:t>
      </w:r>
      <w:r>
        <w:rPr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4680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ДОЛЖНОСТНОЙ РЕГЛАМЕНТ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государственного гражданского служащего Чувашской Республики,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pStyle w:val="74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замещающего должность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консультанта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сектора правовой и организационной работы отдела по обеспечению</w:t>
      </w:r>
      <w:r>
        <w:rPr>
          <w:rFonts w:ascii="Times New Roman" w:hAnsi="Times New Roman" w:eastAsia="Times New Roman" w:cs="Times New Roman"/>
          <w:b/>
          <w:bCs/>
          <w:color w:val="262626"/>
          <w:sz w:val="24"/>
          <w:szCs w:val="24"/>
          <w:lang w:eastAsia="ru-RU"/>
        </w:rPr>
        <w:t xml:space="preserve"> деятельности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министерства промышленности и энергетики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Чувашской Республики 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center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I. Общие положения</w:t>
      </w:r>
      <w:r>
        <w:rPr>
          <w:rFonts w:ascii="Times New Roman" w:hAnsi="Times New Roman" w:eastAsia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color w:val="262626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1.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Должность госу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дарственной гражданской службы Чувашской Республики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консультанта </w:t>
      </w:r>
      <w:r>
        <w:rPr>
          <w:rFonts w:ascii="Times New Roman" w:hAnsi="Times New Roman" w:eastAsia="Times New Roman" w:cs="Times New Roman"/>
          <w:b w:val="0"/>
          <w:bCs w:val="0"/>
          <w:color w:val="262626"/>
          <w:sz w:val="26"/>
          <w:szCs w:val="26"/>
          <w:lang w:eastAsia="ru-RU"/>
        </w:rPr>
        <w:t xml:space="preserve">сектора правовой и организационной работы отдела по обеспечению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(далее –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консультант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)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Министерства промышленности и энергетики Чувашской Республики (далее – Министерство) относится к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ведуще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й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группе должностей государственной гражданской службы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Чувашской Республики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(далее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соответственно –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должность, гражданская служба) категории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специалисты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262626"/>
          <w:sz w:val="24"/>
          <w:szCs w:val="24"/>
        </w:rPr>
      </w:r>
      <w:r>
        <w:rPr>
          <w:rFonts w:ascii="Times New Roman" w:hAnsi="Times New Roman" w:cs="Times New Roman"/>
          <w:color w:val="262626"/>
          <w:sz w:val="24"/>
          <w:szCs w:val="24"/>
          <w:highlight w:val="none"/>
        </w:rPr>
      </w:r>
    </w:p>
    <w:p>
      <w:pPr>
        <w:pStyle w:val="742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          Регистрационный номер (код) должност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и –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  <w:t xml:space="preserve">3-3-3-18.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color w:val="262626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262626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 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регулирование государственной гражданской службы.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Вид профессиональной служебной деятельности гражданского служащего: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обеспечение прохождения государственной гражданской службы;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регулирование в сфере прохожде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ния государственной гражданской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службы.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134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4.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ab/>
        <w:t xml:space="preserve">Назначение на должность и освобождение от должности осуществляется приказом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министра промышленности и энергетики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Чувашской Республики (далее –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инистр) и непосредственно подчиняется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заведующему сектора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правовой и организационной работы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отдела по обеспечению деятельности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(далее –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заведующий сектором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5.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 В период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временного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отсутствия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его обязанности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исполняет заведующий сектором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center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val="en-US" w:eastAsia="ru-RU"/>
        </w:rPr>
        <w:t xml:space="preserve">II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. Квалификационные требования к уровню профессионального образования, стажу гражданской службы или работы по специальности, направлению подготовки, профессиональному уровню, а также при наличии соответствующего решения 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представителя нанимателя – к специальности, направлению подготовки (к укрупненным группам специальностей и направлений подготовки), к квалификации, полученной по результатам освоения дополнительной профессиональной программы профессиональной переподготовки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ind w:firstLine="709"/>
        <w:jc w:val="center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6.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Для замещения должности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устанавливаются следующие базовые и профессионально-функциональ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ные квалификационные требования: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наличие высшего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образования по специальност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ям, направлениям подготовки «Юриспруденция», «Правоведение»,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направлению подготовки (специальности), содержащееся в предыдущем перечне профессий, специальностей и направлений подготовки;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требование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к стажу гражданской службы или стажу работы по специальности, направлению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подготовки – не устанавливаются;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Cs/>
          <w:color w:val="262626"/>
          <w:sz w:val="26"/>
          <w:szCs w:val="26"/>
          <w:u w:val="single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Cs/>
          <w:color w:val="262626"/>
          <w:sz w:val="26"/>
          <w:szCs w:val="26"/>
          <w:u w:val="single"/>
          <w:lang w:eastAsia="ru-RU"/>
        </w:rPr>
        <w:t xml:space="preserve">аличие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базовых знаний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знание государственного языка Российской Федерации (русского языка);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знание основ: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Конституции Российской Федерации;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 области информационно-коммуникационных технологий;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принципов и инструментов бережливого производства;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профессиональных знаний в сфере законодательства Российской Федерации и законодательства Чувашской Республики: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Конституция Российской Федерации;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федеральные законы: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системе государственной службы Российской Федерации»;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государственной гражданской службе Российской Федерации»;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порядке рассмотрения обращений граждан Российской Федерации»;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противодействии коррупции»;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Конституция Чувашской Республики;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законы Чувашской Республики: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государственной гражданской службе Чувашской Республики»;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«О противодействии коррупции»;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иные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законы Чувашской Республики, указы 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распоряжения Главы Чувашской Республики; постановления и распоряжения Кабинета Министров Чувашской Республики, иные нормативные правовые акты, регулирующие соответствующую сферу деятельности применительно к исполнению конкретных должностных обязанностей;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базовых умений: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мыслить стратегически (системно);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планировать, рационально использовать служебное время и достигать результата;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коммуникативные умения;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управлять изменениями;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работать в стрессовых условиях;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ab/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совершенствовать свой профессиональный уровень;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наличие профессиональных умений: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ля замещения должности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требования к специальности, направлению подготовки не предъявляются.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иных профессиональных знаний: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предметы и методы правового регулирования;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понятие, процедура рассмотрения обращений граждан;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задачи, сроки, ресурсы и инструменты государственной политики;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 нормы права, нормативного правового акта, правоотношений и их признаки;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 проекта нормативного правового акта, инструменты и этапы его разработки;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 официального отзыва на проекты нормативных правовых актов: этапы, ключевые принципы и технологии разработки;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задачи, сроки, ресурсы и инструменты государственной политики;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понятие, процедура рассмотрения обращений граждан;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система взаимодействия в рамках внутриведомственного и межведомственного электронного документооборота.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профессиональных умений: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оперативного и качественного выполнения поставленных задач;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эффективного планирования служебной деятельности;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анализа и прогнозирования деятельности в порученной сфере;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взаимодействия со структурными подразделениями органов государственной власти и местного самоуправления, организациями по вопросам своей деятельности;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эффективного сотрудничества с коллегами;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подготовки служебных документов;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работа со справочными правовыми системами «Консультант Плюс», «Гарант» на профессиональном уровне;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выяснять точный смысл, содержание нормативных правовых актов (норм), используя различные виды толкования;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использование официально-делового стиля при составлении правовых документов ненормативного характера;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использование правил юридической техники для составления нормативных правовых актов;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умение собирать, обобщать, анализировать и оценивать информацию о состоянии законодательства Российской Федерации для обеспечения принятия (издания), изменения или признания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утратившими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силу (отмены) законодательных и иных нормативных правовых актов Чувашской Республики.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функциональных знаний: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 нормативного правового акта;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понятие, процедура рассмотрения обращений граждан;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задачи, сроки, ресурсы и инструменты государственной политики.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  <w:t xml:space="preserve">наличие функциональных умений: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u w:val="singl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подготовка методических материалов, разъяснений и других материалов;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прием, учет, обработка и регистрация корреспонденции.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pStyle w:val="905"/>
        <w:numPr>
          <w:ilvl w:val="0"/>
          <w:numId w:val="21"/>
        </w:numPr>
        <w:ind w:left="0" w:firstLine="709"/>
        <w:jc w:val="center"/>
        <w:spacing w:after="0" w:line="240" w:lineRule="auto"/>
        <w:shd w:val="clear" w:color="auto" w:fill="ffffff"/>
        <w:tabs>
          <w:tab w:val="left" w:pos="1134" w:leader="none"/>
          <w:tab w:val="left" w:pos="2126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Должностные обязанности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, права и 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ответственность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992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7.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ab/>
        <w:t xml:space="preserve">Основные права и обязанности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 также ограничения, запреты и требования к служебному поведению, установленные статьями 14–18, 202 Федерального закона от 27 июля 2004 г. № 79-ФЗ «О государственной гражданской службе Российской Федерации» (далее – Федеральный закон о гражданской службе).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Кроме того, исходя из задач и функций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сектор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а,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участвует в разработке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документов по основным направлениям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деятельности Министерства;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участвует в разработке проектов соглашений и договоров, протоколов о сотрудничестве и взаимодейст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вии, заключаемых с федеральными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исп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олнительными органами, исполнительными органами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власти субъектов Российской Федерации, органами местного самоуправления, организациями, в установленной сфере деятельности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сектора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контроле за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их выполнением;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существляет регистрацию приказов по основной деятельности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Министерств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и обеспечивать их сохранность;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Чувашской Республики, касающихся установленной сферы деятельности, а также проекты нормативных правовых актов Министерства;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существляет в установленном порядке мониторинг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правоприменения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законодательных и иных нормативных правовых актов Российской Федерации, мониторинг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правоприменения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законов и иных нормативных правовых актов Чувашской Республики;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готовит по поручению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заведующего сектора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по запросам министерств и ведомств, органов местного самоуправления разъяснения по правовым вопросам, относящимся к компетенции министерства;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частвует в организации согласования проектов нормативных правовых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актов Чувашской Республики и Министерства с Прокуратурой Чувашской Республики; Управлением Министерства юстиции Российской Федерации по Чувашской Республике, Государственно-правовым управлением Главы Чувашской Республики и иными заинтересованными органами;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частвует в подготовке предложений об изменении или отмене (признании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утратившим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силу) приказов и других нормативных правовых актов Министерства и нормативных правовых актов Чувашской Республики;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существляет поддержание в работоспособном состоянии своего компьютерного оборудования, в том числе поиск и получение необходимых данных в информационной системе Администрации Главы Чувашской Республики.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частвует в разработке инструктивных и методических материалов по вопросам, относящимся к установленной сфере деятельности Министерства;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обеспечивает сохранность имущества в Министерстве;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существляет иные полномочия в соответствии с поручениями руководства Министерства,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заведующего сектора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pStyle w:val="905"/>
        <w:ind w:left="0" w:firstLine="709"/>
        <w:jc w:val="both"/>
        <w:spacing w:after="0" w:line="240" w:lineRule="auto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</w:t>
      </w:r>
      <w:r>
        <w:rPr>
          <w:rFonts w:ascii="Times New Roman" w:hAnsi="Times New Roman" w:cs="Times New Roman"/>
          <w:sz w:val="26"/>
          <w:szCs w:val="26"/>
        </w:rPr>
        <w:t xml:space="preserve">яет представителю нанимателя сведения о своих доходах,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(в случае замещения дол</w:t>
      </w:r>
      <w:r>
        <w:rPr>
          <w:rFonts w:ascii="Times New Roman" w:hAnsi="Times New Roman" w:cs="Times New Roman"/>
          <w:sz w:val="26"/>
          <w:szCs w:val="26"/>
        </w:rPr>
        <w:t xml:space="preserve">жности государственной гражданской службы Чувашской Республики в Министерстве, при замещении которой в отчетном периоде осуществлялось исполнение либо временное исполнение должностных обязанностей по должностям в Министерстве указанным в перечне должностей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Чувашской Республики в Министерстве промышленности и энергетики Чувашской Республики, при замещении которых государственные гражданские служащие Чув</w:t>
      </w:r>
      <w:r>
        <w:rPr>
          <w:rFonts w:ascii="Times New Roman" w:hAnsi="Times New Roman" w:cs="Times New Roman"/>
          <w:sz w:val="26"/>
          <w:szCs w:val="26"/>
        </w:rPr>
        <w:t xml:space="preserve">ашской Республики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905"/>
        <w:ind w:left="0" w:firstLine="709"/>
        <w:jc w:val="both"/>
        <w:spacing w:after="0" w:line="240" w:lineRule="auto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представляет представителю нанимателя ежегодно в сроки, установленные для представления сведений о доходах, об имуществе и обязательствах имущественного характера,  сведения о своих расходах, а также о расходах своих супруги (супруга) и нес</w:t>
      </w:r>
      <w:r>
        <w:rPr>
          <w:rFonts w:ascii="Times New Roman" w:hAnsi="Times New Roman" w:cs="Times New Roman"/>
          <w:sz w:val="26"/>
          <w:szCs w:val="26"/>
        </w:rPr>
        <w:t xml:space="preserve">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</w:t>
      </w:r>
      <w:r>
        <w:rPr>
          <w:rFonts w:ascii="Times New Roman" w:hAnsi="Times New Roman" w:cs="Times New Roman"/>
          <w:sz w:val="26"/>
          <w:szCs w:val="26"/>
        </w:rPr>
        <w:t xml:space="preserve">и (супруга) за три последних года, предшествующих отчетному периоду, и об источниках получения средств, за счет которых совершены эти сделки (в случае замещения должности государственной гражданской службы Чувашской Республики в Министерстве, при замещении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которой в отчетном периоде осуществлялось исполнение либо временное исполнение должностных обязанностей по должностям в Министерстве </w:t>
      </w:r>
      <w:r>
        <w:rPr>
          <w:rFonts w:ascii="Times New Roman" w:hAnsi="Times New Roman" w:cs="Times New Roman"/>
          <w:sz w:val="26"/>
          <w:szCs w:val="26"/>
        </w:rPr>
        <w:t xml:space="preserve">указанным в перечне должностей государственной гражданской службы Чувашской Республики в Министерстве промышленности и энергетики Чувашс</w:t>
      </w:r>
      <w:r>
        <w:rPr>
          <w:rFonts w:ascii="Times New Roman" w:hAnsi="Times New Roman" w:cs="Times New Roman"/>
          <w:sz w:val="26"/>
          <w:szCs w:val="26"/>
        </w:rPr>
        <w:t xml:space="preserve">кой Республики, при замещении которых государственные гражданские служащие Чувашской Республики обязаны представлять сведения о своих доходах, об имуществе и обязательствах имущественного характера, а 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6"/>
          <w:szCs w:val="26"/>
        </w:rPr>
        <w:t xml:space="preserve">акже сведения о доходах, об имуществе и обязательствах</w:t>
      </w:r>
      <w:r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супруги (супруга) и несовершеннолетних детей).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9.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Основные права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установлены статьей 14 Федерального закона № 79-ФЗ.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10.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Кроме того,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имеет право: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представлять интересы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 в других государственных органах, организациях и учреждениях;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получать от работников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 информацию и материалы для исполнения должностных обязанностей;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носить предложения руководству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 и начальн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икам структурных подразделений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 по совершенствованию работы, связанной с выполнением изложенных в настоящем должностном регламенте должностных обязанностей;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принимать участие в проведении совещаний, семинаров и друг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их организационных мероприятий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устно 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11.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осуществляет иные права и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обязанности, предусмотренные законодательством Российской Федерации, законодательством Чувашской Республики, приказами (распоряжениями) и поручениями министра либо лицом, исполняющим его обязанности, при этом уведомив своего непосредственного руководителя.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11.1. В процессе служебной деятельности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обязан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изучать и использовать при исполнении должностных обязанностей: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и умения работы в системе управления проектом «Эффективный регион»;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положений постановления Кабинета Министров Чувашской Республики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от 8 июня 2022 г. № 262 «О системе бережливого управления в органах исполнительной власти Чувашской Республики и подведомственных им организациях» (далее – постановление № 262);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стадий реализации оптимизационных проектов с использованием инструментов бережливых технологий (далее – проект), предусмотренных постановлением № 262, основных методов и инструментов бережливого производства;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и умения формирования паспорта (карточки) проекта, карты текущего и целевого состояния процесса, плана мероприятий по реализации проекта, отчета о реализации проекта в соответствии с постановлением № 262;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понятия образца лучших практик применения принципов и инструментов бережливого производства в соответствии с методическими материалами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Госкорпорации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«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Росатом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»;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понятия ценности для потребителя, потока создания ценности, отличия деятельности создающей и не создающей ценности;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видов потерь, умения выявления их в своей работе;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понятия, необходимости совершенствования потока создания ценности с точки зрения сокращения всех видов потерь;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применения системы «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5С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» на рабочем месте, оптимизации планировки рабочего пространства по системе «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5С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» для исполнения должностных обязанностей;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знания назначения и формирования предложений по улучшениям.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12.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за неисполнение или ненадлежащее исполнение должностных обязанностей, несоблюдение ограничений и запретов, требований к служебному поведению может быть привлечен к ответственности в соответствии с законодательством Российской Федерации.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center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IV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. Перечень вопросов, по которым гражданский служащий обязан или вправе самостоятельно принимать управленческие и иные решения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13.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При исполнении служебных обязанностей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вправе самостоятельно принимать решения по вопросам: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самостоятельный выбор метода проверки документов;  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запрос недостающих документов.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14.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При исполнении служебных обязанностей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обязан самостоятельно принимать решения по вопросам: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проверка в установленном порядке полномочий заявителя;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установление сроков исполнения контрольных документов;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составление справки о соблюдении исполнительской дисциплины;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визировать проекты документов внутреннего обращения.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pStyle w:val="905"/>
        <w:numPr>
          <w:ilvl w:val="0"/>
          <w:numId w:val="22"/>
        </w:numPr>
        <w:ind w:left="0" w:firstLine="709"/>
        <w:jc w:val="center"/>
        <w:spacing w:after="0" w:line="240" w:lineRule="auto"/>
        <w:shd w:val="clear" w:color="auto" w:fill="ffffff"/>
        <w:tabs>
          <w:tab w:val="left" w:pos="992" w:leader="none"/>
          <w:tab w:val="left" w:pos="2835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Перечень вопросов, по которым гражданский служащий вправе или обязан участвовать при подготовке проектов нормативных правовых актов и (или)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проектов управленческих и иных решений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15.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в соответствии со своей компетенцией вправе участвовать в подготовке (обсуждении) следующих проектов: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нормативных правовых актов Чувашской Республики;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норм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ативных правовых актов и актов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инистерства.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16.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 соответствии со своей компетенцией обязан участвовать в подготовке (обсуждении) следующих проектов: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нормативных п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равовых актов, разрабатываемых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инистерством и органами исполнительной власти Чувашской Республики;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писем и обращений министра, заместителей министра.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pStyle w:val="905"/>
        <w:numPr>
          <w:ilvl w:val="0"/>
          <w:numId w:val="22"/>
        </w:numPr>
        <w:ind w:left="0" w:firstLine="709"/>
        <w:jc w:val="center"/>
        <w:spacing w:after="0" w:line="240" w:lineRule="auto"/>
        <w:shd w:val="clear" w:color="auto" w:fill="ffffff"/>
        <w:tabs>
          <w:tab w:val="left" w:pos="1134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Сроки и процедуры подготовки, рассмотрения проектов управленческих и иных решений, порядок согласования и принятия данных решений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pStyle w:val="905"/>
        <w:ind w:left="0"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17.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pStyle w:val="905"/>
        <w:numPr>
          <w:ilvl w:val="0"/>
          <w:numId w:val="22"/>
        </w:numPr>
        <w:ind w:left="0" w:firstLine="709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Поряд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ок служебного взаимодействия гражданского служащего в связи с исполнением им должностных обязанностей с гражданскими служащими того же государственного органа, гражданскими служащими иных государственных органов, другими гражданами, а также с организациями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pStyle w:val="905"/>
        <w:ind w:left="0"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18.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Взаимодействие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с гражданскими служащими, гражданами и организациями строится в рамках деловых отнош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ений на основе общих принципов служебного поведения гражданских служащих, утвержденных Указом Президента Российской Федерации от 12 августа 2002 г. № 885, и требований к служебному поведению, установленных статьей 18 Федерального закона № 79-ФЗ, а также в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соответствии с иными нормативными правовыми актами Российской Федерации, нормативными правовыми актами Чувашской Республики и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 нормативными правовыми актами М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инистерства. 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pStyle w:val="905"/>
        <w:numPr>
          <w:ilvl w:val="0"/>
          <w:numId w:val="22"/>
        </w:numPr>
        <w:ind w:left="0" w:firstLine="709"/>
        <w:jc w:val="center"/>
        <w:spacing w:after="0" w:line="240" w:lineRule="auto"/>
        <w:shd w:val="clear" w:color="auto" w:fill="ffffff"/>
        <w:tabs>
          <w:tab w:val="left" w:pos="1276" w:leader="none"/>
          <w:tab w:val="left" w:pos="1559" w:leader="none"/>
        </w:tabs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  <w:t xml:space="preserve">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6"/>
          <w:szCs w:val="26"/>
        </w:rPr>
      </w:r>
    </w:p>
    <w:p>
      <w:pPr>
        <w:pStyle w:val="905"/>
        <w:ind w:left="0"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numPr>
          <w:ilvl w:val="0"/>
          <w:numId w:val="23"/>
        </w:numPr>
        <w:contextualSpacing/>
        <w:ind w:left="0" w:firstLine="709"/>
        <w:jc w:val="both"/>
        <w:spacing w:after="0" w:line="240" w:lineRule="auto"/>
        <w:shd w:val="clear" w:color="auto" w:fill="ffffff"/>
        <w:tabs>
          <w:tab w:val="left" w:pos="567" w:leader="none"/>
          <w:tab w:val="clear" w:pos="720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Консультант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оказывает государственную услугу «Лицензирует заготовку, хранение, переработку и реализацию лома черных и цветных металлов на территории Чувашской Республики», проводит экспертизу документов, представленных заявителями 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на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1) предоставление лицензии либо отказ в предоставлении лицензии;</w:t>
      </w: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2) внесение изменений в реестр лицензий, либо отказ во внесении изменений в реестр лицензий;</w:t>
      </w: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3) прекращение действия лицензии;</w:t>
      </w: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4) предоставление сведений из реестра лицензий о конкретной лицензии;</w:t>
      </w: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</w:r>
      <w:r>
        <w:rPr>
          <w:rFonts w:ascii="Times New Roman" w:hAnsi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6"/>
          <w:szCs w:val="26"/>
        </w:rPr>
      </w:pPr>
      <w:r>
        <w:rPr>
          <w:rFonts w:ascii="Times New Roman" w:hAnsi="Times New Roman" w:cs="Times New Roman"/>
          <w:color w:val="262626"/>
          <w:sz w:val="26"/>
          <w:szCs w:val="26"/>
          <w:lang w:eastAsia="ru-RU"/>
        </w:rPr>
        <w:t xml:space="preserve">5) исправление допущенных опечаток и ошибок в выданных в результате предоставления государственной услуги документах</w:t>
      </w:r>
      <w:r>
        <w:rPr>
          <w:rFonts w:ascii="Times New Roman" w:hAnsi="Times New Roman" w:eastAsia="Times New Roman" w:cs="Times New Roman"/>
          <w:color w:val="262626"/>
          <w:sz w:val="26"/>
          <w:szCs w:val="26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262626"/>
          <w:sz w:val="26"/>
          <w:szCs w:val="26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left="709" w:firstLine="0"/>
        <w:jc w:val="center"/>
        <w:spacing w:after="0" w:line="240" w:lineRule="auto"/>
        <w:shd w:val="clear" w:color="auto" w:fill="ffffff"/>
        <w:tabs>
          <w:tab w:val="left" w:pos="283" w:leader="none"/>
          <w:tab w:val="left" w:pos="1984" w:leader="none"/>
        </w:tabs>
        <w:rPr>
          <w:rFonts w:ascii="Times New Roman" w:hAnsi="Times New Roman" w:eastAsia="Times New Roman" w:cs="Times New Roman"/>
          <w:b/>
          <w:bCs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62626"/>
          <w:sz w:val="24"/>
          <w:szCs w:val="24"/>
          <w:lang w:eastAsia="ru-RU"/>
        </w:rPr>
        <w:t xml:space="preserve">IX. Показатели эффективности и результативности профессиональной служебной деятельности гражданского служащего</w:t>
      </w:r>
      <w:r>
        <w:rPr>
          <w:rFonts w:ascii="Times New Roman" w:hAnsi="Times New Roman" w:eastAsia="Times New Roman" w:cs="Times New Roman"/>
          <w:b/>
          <w:bCs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262626"/>
          <w:sz w:val="24"/>
          <w:szCs w:val="24"/>
          <w:lang w:eastAsia="ru-RU"/>
        </w:rPr>
      </w:r>
    </w:p>
    <w:p>
      <w:pPr>
        <w:pStyle w:val="905"/>
        <w:ind w:left="0"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20.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Эффективность и результативность профессиональной служебной деятельности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highlight w:val="none"/>
          <w:lang w:eastAsia="ru-RU"/>
        </w:rPr>
        <w:t xml:space="preserve">консультанта</w:t>
      </w:r>
      <w:bookmarkStart w:id="0" w:name="_GoBack"/>
      <w:r>
        <w:rPr>
          <w:highlight w:val="none"/>
        </w:rPr>
      </w:r>
      <w:bookmarkEnd w:id="0"/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оценив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 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Оценка осуществляется в соответствии с приказом Министерства промышленности и энергетики Чувашской Республики от 23 января 2023 г. № 01-05/3 «О порядке выплаты премии, в том числе за выполнение особо важных и сложных заданий, материально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й помощи, единовременной выплаты при предоставлении ежегодного оплачиваемого отпуска и единовременного поощрения, ежемесячной надбавки к должностному окладу за особые условия государственной гражданской службы государственным гражданским служащим Чувашской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Республики в Министерстве промышленности и энергетики Чувашской Респу</w:t>
      </w:r>
      <w:r>
        <w:rPr>
          <w:rFonts w:ascii="Times New Roman" w:hAnsi="Times New Roman" w:eastAsia="Times New Roman" w:cs="Times New Roman"/>
          <w:color w:val="262626"/>
          <w:sz w:val="24"/>
          <w:szCs w:val="24"/>
          <w:lang w:eastAsia="ru-RU"/>
        </w:rPr>
        <w:t xml:space="preserve">блики и Комиссии по оценке эффективности деятельности государственных гражданских служащих Чувашской Республики в Министерстве промышленности и энергетики Чувашской Республики» (зарегистрировано в Госслужбе Чувашии по делам юстиции 8 февраля 2023 г. № 8377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08"/>
        <w:contextualSpacing/>
        <w:ind w:left="0"/>
        <w:jc w:val="both"/>
        <w:spacing w:after="0"/>
        <w:tabs>
          <w:tab w:val="left" w:pos="0" w:leader="none"/>
          <w:tab w:val="left" w:pos="1985" w:leader="none"/>
          <w:tab w:val="left" w:pos="3402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Ознакомлен (а)_____________________________________________________________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06"/>
        <w:contextualSpacing/>
        <w:jc w:val="both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tabs>
          <w:tab w:val="left" w:pos="1985" w:leader="none"/>
          <w:tab w:val="left" w:pos="3402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907" w:right="851" w:bottom="1134" w:left="1503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712695190"/>
      <w:docPartObj>
        <w:docPartGallery w:val="Page Numbers (Top of Page)"/>
        <w:docPartUnique w:val="true"/>
      </w:docPartObj>
      <w:rPr/>
    </w:sdtPr>
    <w:sdtContent>
      <w:p>
        <w:pPr>
          <w:pStyle w:val="9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91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5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2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6"/>
  </w:num>
  <w:num w:numId="2">
    <w:abstractNumId w:val="18"/>
  </w:num>
  <w:num w:numId="3">
    <w:abstractNumId w:val="12"/>
  </w:num>
  <w:num w:numId="4">
    <w:abstractNumId w:val="10"/>
  </w:num>
  <w:num w:numId="5">
    <w:abstractNumId w:val="4"/>
  </w:num>
  <w:num w:numId="6">
    <w:abstractNumId w:val="19"/>
  </w:num>
  <w:num w:numId="7">
    <w:abstractNumId w:val="20"/>
  </w:num>
  <w:num w:numId="8">
    <w:abstractNumId w:val="13"/>
  </w:num>
  <w:num w:numId="9">
    <w:abstractNumId w:val="11"/>
  </w:num>
  <w:num w:numId="10">
    <w:abstractNumId w:val="0"/>
  </w:num>
  <w:num w:numId="11">
    <w:abstractNumId w:val="3"/>
  </w:num>
  <w:num w:numId="12">
    <w:abstractNumId w:val="8"/>
  </w:num>
  <w:num w:numId="13">
    <w:abstractNumId w:val="15"/>
  </w:num>
  <w:num w:numId="14">
    <w:abstractNumId w:val="16"/>
  </w:num>
  <w:num w:numId="15">
    <w:abstractNumId w:val="17"/>
  </w:num>
  <w:num w:numId="16">
    <w:abstractNumId w:val="7"/>
  </w:num>
  <w:num w:numId="17">
    <w:abstractNumId w:val="2"/>
  </w:num>
  <w:num w:numId="18">
    <w:abstractNumId w:val="1"/>
  </w:num>
  <w:num w:numId="19">
    <w:abstractNumId w:val="22"/>
  </w:num>
  <w:num w:numId="20">
    <w:abstractNumId w:val="21"/>
  </w:num>
  <w:num w:numId="21">
    <w:abstractNumId w:val="14"/>
  </w:num>
  <w:num w:numId="22">
    <w:abstractNumId w:val="5"/>
  </w:num>
  <w:num w:numId="23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9"/>
    <w:next w:val="899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900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9"/>
    <w:next w:val="899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900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9"/>
    <w:next w:val="899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900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9"/>
    <w:next w:val="899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900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9"/>
    <w:next w:val="899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900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9"/>
    <w:next w:val="899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900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9"/>
    <w:next w:val="899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900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9"/>
    <w:next w:val="899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900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9"/>
    <w:next w:val="899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900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9"/>
    <w:next w:val="899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900"/>
    <w:link w:val="743"/>
    <w:uiPriority w:val="10"/>
    <w:rPr>
      <w:sz w:val="48"/>
      <w:szCs w:val="48"/>
    </w:rPr>
  </w:style>
  <w:style w:type="paragraph" w:styleId="745">
    <w:name w:val="Subtitle"/>
    <w:basedOn w:val="899"/>
    <w:next w:val="899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900"/>
    <w:link w:val="745"/>
    <w:uiPriority w:val="11"/>
    <w:rPr>
      <w:sz w:val="24"/>
      <w:szCs w:val="24"/>
    </w:rPr>
  </w:style>
  <w:style w:type="paragraph" w:styleId="747">
    <w:name w:val="Quote"/>
    <w:basedOn w:val="899"/>
    <w:next w:val="899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9"/>
    <w:next w:val="899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900"/>
    <w:link w:val="910"/>
    <w:uiPriority w:val="99"/>
  </w:style>
  <w:style w:type="character" w:styleId="752">
    <w:name w:val="Footer Char"/>
    <w:basedOn w:val="900"/>
    <w:link w:val="912"/>
    <w:uiPriority w:val="99"/>
  </w:style>
  <w:style w:type="paragraph" w:styleId="753">
    <w:name w:val="Caption"/>
    <w:basedOn w:val="899"/>
    <w:next w:val="8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12"/>
    <w:uiPriority w:val="99"/>
  </w:style>
  <w:style w:type="table" w:styleId="755">
    <w:name w:val="Table Grid"/>
    <w:basedOn w:val="9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5">
    <w:name w:val="List Table 7 Colorful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6">
    <w:name w:val="List Table 7 Colorful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7">
    <w:name w:val="List Table 7 Colorful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8">
    <w:name w:val="List Table 7 Colorful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9">
    <w:name w:val="List Table 7 Colorful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0">
    <w:name w:val="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2">
    <w:name w:val="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3">
    <w:name w:val="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4">
    <w:name w:val="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5">
    <w:name w:val="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6">
    <w:name w:val="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7">
    <w:name w:val="Bordered &amp; Lined - Accent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9">
    <w:name w:val="Bordered &amp; Lined - Accent 2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0">
    <w:name w:val="Bordered &amp; Lined - Accent 3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1">
    <w:name w:val="Bordered &amp; Lined - Accent 4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2">
    <w:name w:val="Bordered &amp; Lined - Accent 5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3">
    <w:name w:val="Bordered &amp; Lined - Accent 6"/>
    <w:basedOn w:val="9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4">
    <w:name w:val="Bordered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1">
    <w:name w:val="Hyperlink"/>
    <w:uiPriority w:val="99"/>
    <w:unhideWhenUsed/>
    <w:rPr>
      <w:color w:val="0000ff" w:themeColor="hyperlink"/>
      <w:u w:val="single"/>
    </w:rPr>
  </w:style>
  <w:style w:type="paragraph" w:styleId="882">
    <w:name w:val="footnote text"/>
    <w:basedOn w:val="899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>
    <w:name w:val="Footnote Text Char"/>
    <w:link w:val="882"/>
    <w:uiPriority w:val="99"/>
    <w:rPr>
      <w:sz w:val="18"/>
    </w:rPr>
  </w:style>
  <w:style w:type="character" w:styleId="884">
    <w:name w:val="footnote reference"/>
    <w:basedOn w:val="900"/>
    <w:uiPriority w:val="99"/>
    <w:unhideWhenUsed/>
    <w:rPr>
      <w:vertAlign w:val="superscript"/>
    </w:rPr>
  </w:style>
  <w:style w:type="paragraph" w:styleId="885">
    <w:name w:val="endnote text"/>
    <w:basedOn w:val="899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>
    <w:name w:val="Endnote Text Char"/>
    <w:link w:val="885"/>
    <w:uiPriority w:val="99"/>
    <w:rPr>
      <w:sz w:val="20"/>
    </w:rPr>
  </w:style>
  <w:style w:type="character" w:styleId="887">
    <w:name w:val="endnote reference"/>
    <w:basedOn w:val="900"/>
    <w:uiPriority w:val="99"/>
    <w:semiHidden/>
    <w:unhideWhenUsed/>
    <w:rPr>
      <w:vertAlign w:val="superscript"/>
    </w:rPr>
  </w:style>
  <w:style w:type="paragraph" w:styleId="888">
    <w:name w:val="toc 1"/>
    <w:basedOn w:val="899"/>
    <w:next w:val="899"/>
    <w:uiPriority w:val="39"/>
    <w:unhideWhenUsed/>
    <w:pPr>
      <w:ind w:left="0" w:right="0" w:firstLine="0"/>
      <w:spacing w:after="57"/>
    </w:pPr>
  </w:style>
  <w:style w:type="paragraph" w:styleId="889">
    <w:name w:val="toc 2"/>
    <w:basedOn w:val="899"/>
    <w:next w:val="899"/>
    <w:uiPriority w:val="39"/>
    <w:unhideWhenUsed/>
    <w:pPr>
      <w:ind w:left="283" w:right="0" w:firstLine="0"/>
      <w:spacing w:after="57"/>
    </w:pPr>
  </w:style>
  <w:style w:type="paragraph" w:styleId="890">
    <w:name w:val="toc 3"/>
    <w:basedOn w:val="899"/>
    <w:next w:val="899"/>
    <w:uiPriority w:val="39"/>
    <w:unhideWhenUsed/>
    <w:pPr>
      <w:ind w:left="567" w:right="0" w:firstLine="0"/>
      <w:spacing w:after="57"/>
    </w:pPr>
  </w:style>
  <w:style w:type="paragraph" w:styleId="891">
    <w:name w:val="toc 4"/>
    <w:basedOn w:val="899"/>
    <w:next w:val="899"/>
    <w:uiPriority w:val="39"/>
    <w:unhideWhenUsed/>
    <w:pPr>
      <w:ind w:left="850" w:right="0" w:firstLine="0"/>
      <w:spacing w:after="57"/>
    </w:pPr>
  </w:style>
  <w:style w:type="paragraph" w:styleId="892">
    <w:name w:val="toc 5"/>
    <w:basedOn w:val="899"/>
    <w:next w:val="899"/>
    <w:uiPriority w:val="39"/>
    <w:unhideWhenUsed/>
    <w:pPr>
      <w:ind w:left="1134" w:right="0" w:firstLine="0"/>
      <w:spacing w:after="57"/>
    </w:pPr>
  </w:style>
  <w:style w:type="paragraph" w:styleId="893">
    <w:name w:val="toc 6"/>
    <w:basedOn w:val="899"/>
    <w:next w:val="899"/>
    <w:uiPriority w:val="39"/>
    <w:unhideWhenUsed/>
    <w:pPr>
      <w:ind w:left="1417" w:right="0" w:firstLine="0"/>
      <w:spacing w:after="57"/>
    </w:pPr>
  </w:style>
  <w:style w:type="paragraph" w:styleId="894">
    <w:name w:val="toc 7"/>
    <w:basedOn w:val="899"/>
    <w:next w:val="899"/>
    <w:uiPriority w:val="39"/>
    <w:unhideWhenUsed/>
    <w:pPr>
      <w:ind w:left="1701" w:right="0" w:firstLine="0"/>
      <w:spacing w:after="57"/>
    </w:pPr>
  </w:style>
  <w:style w:type="paragraph" w:styleId="895">
    <w:name w:val="toc 8"/>
    <w:basedOn w:val="899"/>
    <w:next w:val="899"/>
    <w:uiPriority w:val="39"/>
    <w:unhideWhenUsed/>
    <w:pPr>
      <w:ind w:left="1984" w:right="0" w:firstLine="0"/>
      <w:spacing w:after="57"/>
    </w:pPr>
  </w:style>
  <w:style w:type="paragraph" w:styleId="896">
    <w:name w:val="toc 9"/>
    <w:basedOn w:val="899"/>
    <w:next w:val="899"/>
    <w:uiPriority w:val="39"/>
    <w:unhideWhenUsed/>
    <w:pPr>
      <w:ind w:left="2268" w:right="0" w:firstLine="0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899"/>
    <w:next w:val="899"/>
    <w:uiPriority w:val="99"/>
    <w:unhideWhenUsed/>
    <w:pPr>
      <w:spacing w:after="0" w:afterAutospacing="0"/>
    </w:pPr>
  </w:style>
  <w:style w:type="paragraph" w:styleId="899" w:default="1">
    <w:name w:val="Normal"/>
    <w:qFormat/>
  </w:style>
  <w:style w:type="character" w:styleId="900" w:default="1">
    <w:name w:val="Default Paragraph Font"/>
    <w:uiPriority w:val="1"/>
    <w:unhideWhenUsed/>
  </w:style>
  <w:style w:type="table" w:styleId="9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2" w:default="1">
    <w:name w:val="No List"/>
    <w:uiPriority w:val="99"/>
    <w:semiHidden/>
    <w:unhideWhenUsed/>
  </w:style>
  <w:style w:type="paragraph" w:styleId="903">
    <w:name w:val="Normal (Web)"/>
    <w:basedOn w:val="899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4">
    <w:name w:val="Strong"/>
    <w:basedOn w:val="900"/>
    <w:uiPriority w:val="22"/>
    <w:qFormat/>
    <w:rPr>
      <w:b/>
      <w:bCs/>
    </w:rPr>
  </w:style>
  <w:style w:type="paragraph" w:styleId="905">
    <w:name w:val="List Paragraph"/>
    <w:basedOn w:val="899"/>
    <w:uiPriority w:val="34"/>
    <w:qFormat/>
    <w:pPr>
      <w:contextualSpacing/>
      <w:ind w:left="720"/>
    </w:pPr>
  </w:style>
  <w:style w:type="paragraph" w:styleId="906" w:customStyle="1">
    <w:name w:val="ConsPlusNonformat"/>
    <w:link w:val="907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07" w:customStyle="1">
    <w:name w:val="ConsPlusNonformat Знак"/>
    <w:link w:val="906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908">
    <w:name w:val="Body Text Indent 3"/>
    <w:basedOn w:val="899"/>
    <w:link w:val="909"/>
    <w:pPr>
      <w:ind w:left="283"/>
      <w:spacing w:after="120" w:line="240" w:lineRule="auto"/>
    </w:pPr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909" w:customStyle="1">
    <w:name w:val="Основной текст с отступом 3 Знак"/>
    <w:basedOn w:val="900"/>
    <w:link w:val="90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910">
    <w:name w:val="Header"/>
    <w:basedOn w:val="899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Верхний колонтитул Знак"/>
    <w:basedOn w:val="900"/>
    <w:link w:val="910"/>
    <w:uiPriority w:val="99"/>
  </w:style>
  <w:style w:type="paragraph" w:styleId="912">
    <w:name w:val="Footer"/>
    <w:basedOn w:val="899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Нижний колонтитул Знак"/>
    <w:basedOn w:val="900"/>
    <w:link w:val="912"/>
    <w:uiPriority w:val="99"/>
  </w:style>
  <w:style w:type="paragraph" w:styleId="914">
    <w:name w:val="Balloon Text"/>
    <w:basedOn w:val="899"/>
    <w:link w:val="91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5" w:customStyle="1">
    <w:name w:val="Текст выноски Знак"/>
    <w:basedOn w:val="900"/>
    <w:link w:val="91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revision>4</cp:revision>
  <dcterms:created xsi:type="dcterms:W3CDTF">2024-11-08T10:49:00Z</dcterms:created>
  <dcterms:modified xsi:type="dcterms:W3CDTF">2024-11-08T13:25:47Z</dcterms:modified>
</cp:coreProperties>
</file>