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Кабинета Министров ЧР от 30.12.2025 N 800</w:t>
              <w:br/>
              <w:t xml:space="preserve">(ред. от 12.08.2026)</w:t>
              <w:br/>
              <w:t xml:space="preserve">"Об утверждении Правил предоставления из республиканского бюджета Чувашской Республики субсидий на возмещение части затрат на приобретение мобильных торговых объектов"</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17.08.2026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КАБИНЕТ МИНИСТРОВ ЧУВАШСКОЙ РЕСПУБЛИКИ</w:t>
      </w:r>
    </w:p>
    <w:p>
      <w:pPr>
        <w:pStyle w:val="2"/>
        <w:jc w:val="both"/>
      </w:pPr>
      <w:r>
        <w:rPr>
          <w:sz w:val="24"/>
        </w:rPr>
      </w:r>
    </w:p>
    <w:p>
      <w:pPr>
        <w:pStyle w:val="2"/>
        <w:jc w:val="center"/>
      </w:pPr>
      <w:r>
        <w:rPr>
          <w:sz w:val="24"/>
        </w:rPr>
        <w:t xml:space="preserve">ПОСТАНОВЛЕНИЕ</w:t>
      </w:r>
    </w:p>
    <w:p>
      <w:pPr>
        <w:pStyle w:val="2"/>
        <w:jc w:val="center"/>
      </w:pPr>
      <w:r>
        <w:rPr>
          <w:sz w:val="24"/>
        </w:rPr>
        <w:t xml:space="preserve">от 30 декабря 2025 г. N 800</w:t>
      </w:r>
    </w:p>
    <w:p>
      <w:pPr>
        <w:pStyle w:val="2"/>
        <w:jc w:val="both"/>
      </w:pPr>
      <w:r>
        <w:rPr>
          <w:sz w:val="24"/>
        </w:rPr>
      </w:r>
    </w:p>
    <w:p>
      <w:pPr>
        <w:pStyle w:val="2"/>
        <w:jc w:val="center"/>
      </w:pPr>
      <w:r>
        <w:rPr>
          <w:sz w:val="24"/>
        </w:rPr>
        <w:t xml:space="preserve">ОБ УТВЕРЖДЕНИИ ПРАВИЛ ПРЕДОСТАВЛЕНИЯ ИЗ РЕСПУБЛИКАНСКОГО</w:t>
      </w:r>
    </w:p>
    <w:p>
      <w:pPr>
        <w:pStyle w:val="2"/>
        <w:jc w:val="center"/>
      </w:pPr>
      <w:r>
        <w:rPr>
          <w:sz w:val="24"/>
        </w:rPr>
        <w:t xml:space="preserve">БЮДЖЕТА ЧУВАШСКОЙ РЕСПУБЛИКИ СУБСИДИЙ НА ВОЗМЕЩЕНИЕ ЧАСТИ</w:t>
      </w:r>
    </w:p>
    <w:p>
      <w:pPr>
        <w:pStyle w:val="2"/>
        <w:jc w:val="center"/>
      </w:pPr>
      <w:r>
        <w:rPr>
          <w:sz w:val="24"/>
        </w:rPr>
        <w:t xml:space="preserve">ЗАТРАТ НА ПРИОБРЕТЕНИЕ МОБИЛЬНЫХ ТОРГОВЫХ ОБЪЕКТОВ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Кабинета Министров ЧР от 08.04.2026 </w:t>
            </w:r>
            <w:r>
              <w:rPr>
                <w:sz w:val="24"/>
                <w:color w:val="392c69"/>
              </w:rPr>
              <w:t xml:space="preserve">N 198</w:t>
            </w:r>
            <w:r>
              <w:rPr>
                <w:sz w:val="24"/>
                <w:color w:val="392c69"/>
              </w:rPr>
              <w:t xml:space="preserve">,</w:t>
            </w:r>
          </w:p>
          <w:p>
            <w:pPr>
              <w:pStyle w:val="0"/>
              <w:jc w:val="center"/>
            </w:pPr>
            <w:r>
              <w:rPr>
                <w:sz w:val="24"/>
                <w:color w:val="392c69"/>
              </w:rPr>
              <w:t xml:space="preserve">от 12.08.2026 </w:t>
            </w:r>
            <w:r>
              <w:rPr>
                <w:sz w:val="24"/>
                <w:color w:val="392c69"/>
              </w:rPr>
              <w:t xml:space="preserve">N 509</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Кабинет Министров Чувашской Республики постановляет:</w:t>
      </w:r>
    </w:p>
    <w:p>
      <w:pPr>
        <w:pStyle w:val="0"/>
        <w:spacing w:before="240" w:lineRule="auto"/>
        <w:ind w:firstLine="540"/>
        <w:jc w:val="both"/>
      </w:pPr>
      <w:r>
        <w:rPr>
          <w:sz w:val="24"/>
        </w:rPr>
        <w:t xml:space="preserve">1. Утвердить прилагаемые </w:t>
      </w:r>
      <w:hyperlink w:history="0" w:anchor="P32" w:tooltip="ПРАВИЛА">
        <w:r>
          <w:rPr>
            <w:sz w:val="24"/>
            <w:color w:val="0000ff"/>
          </w:rPr>
          <w:t xml:space="preserve">Правила</w:t>
        </w:r>
      </w:hyperlink>
      <w:r>
        <w:rPr>
          <w:sz w:val="24"/>
        </w:rPr>
        <w:t xml:space="preserve"> предоставления из республиканского бюджета Чувашской Республики субсидий на возмещение части затрат на приобретение мобильных торговых объектов.</w:t>
      </w:r>
    </w:p>
    <w:p>
      <w:pPr>
        <w:pStyle w:val="0"/>
        <w:jc w:val="both"/>
      </w:pPr>
      <w:r>
        <w:rPr>
          <w:sz w:val="24"/>
        </w:rPr>
        <w:t xml:space="preserve">(в ред. </w:t>
      </w:r>
      <w:r>
        <w:rPr>
          <w:sz w:val="24"/>
        </w:rPr>
        <w:t xml:space="preserve">Постановления</w:t>
      </w:r>
      <w:r>
        <w:rPr>
          <w:sz w:val="24"/>
        </w:rPr>
        <w:t xml:space="preserve"> Кабинета Министров ЧР от 08.04.2026 N 198)</w:t>
      </w:r>
    </w:p>
    <w:p>
      <w:pPr>
        <w:pStyle w:val="0"/>
        <w:spacing w:before="240" w:lineRule="auto"/>
        <w:ind w:firstLine="540"/>
        <w:jc w:val="both"/>
      </w:pPr>
      <w:r>
        <w:rPr>
          <w:sz w:val="24"/>
        </w:rPr>
        <w:t xml:space="preserve">2. Настоящее постановление вступает в силу с 1 января 2026 года.</w:t>
      </w:r>
    </w:p>
    <w:p>
      <w:pPr>
        <w:pStyle w:val="0"/>
        <w:jc w:val="both"/>
      </w:pPr>
      <w:r>
        <w:rPr>
          <w:sz w:val="24"/>
        </w:rPr>
      </w:r>
    </w:p>
    <w:p>
      <w:pPr>
        <w:pStyle w:val="0"/>
        <w:jc w:val="right"/>
      </w:pPr>
      <w:r>
        <w:rPr>
          <w:sz w:val="24"/>
        </w:rPr>
        <w:t xml:space="preserve">Председатель Кабинета Министров</w:t>
      </w:r>
    </w:p>
    <w:p>
      <w:pPr>
        <w:pStyle w:val="0"/>
        <w:jc w:val="right"/>
      </w:pPr>
      <w:r>
        <w:rPr>
          <w:sz w:val="24"/>
        </w:rPr>
        <w:t xml:space="preserve">Чувашской Республики</w:t>
      </w:r>
    </w:p>
    <w:p>
      <w:pPr>
        <w:pStyle w:val="0"/>
        <w:jc w:val="right"/>
      </w:pPr>
      <w:r>
        <w:rPr>
          <w:sz w:val="24"/>
        </w:rPr>
        <w:t xml:space="preserve">С.АРТАМОНОВ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w:t>
      </w:r>
    </w:p>
    <w:p>
      <w:pPr>
        <w:pStyle w:val="0"/>
        <w:jc w:val="right"/>
      </w:pPr>
      <w:r>
        <w:rPr>
          <w:sz w:val="24"/>
        </w:rPr>
        <w:t xml:space="preserve">Кабинета Министров</w:t>
      </w:r>
    </w:p>
    <w:p>
      <w:pPr>
        <w:pStyle w:val="0"/>
        <w:jc w:val="right"/>
      </w:pPr>
      <w:r>
        <w:rPr>
          <w:sz w:val="24"/>
        </w:rPr>
        <w:t xml:space="preserve">Чувашской Республики</w:t>
      </w:r>
    </w:p>
    <w:p>
      <w:pPr>
        <w:pStyle w:val="0"/>
        <w:jc w:val="right"/>
      </w:pPr>
      <w:r>
        <w:rPr>
          <w:sz w:val="24"/>
        </w:rPr>
        <w:t xml:space="preserve">от 30.12.2025 N 800</w:t>
      </w:r>
    </w:p>
    <w:p>
      <w:pPr>
        <w:pStyle w:val="0"/>
        <w:jc w:val="both"/>
      </w:pPr>
      <w:r>
        <w:rPr>
          <w:sz w:val="24"/>
        </w:rPr>
      </w:r>
    </w:p>
    <w:bookmarkStart w:id="32" w:name="P32"/>
    <w:bookmarkEnd w:id="32"/>
    <w:p>
      <w:pPr>
        <w:pStyle w:val="2"/>
        <w:jc w:val="center"/>
      </w:pPr>
      <w:r>
        <w:rPr>
          <w:sz w:val="24"/>
        </w:rPr>
        <w:t xml:space="preserve">ПРАВИЛА</w:t>
      </w:r>
    </w:p>
    <w:p>
      <w:pPr>
        <w:pStyle w:val="2"/>
        <w:jc w:val="center"/>
      </w:pPr>
      <w:r>
        <w:rPr>
          <w:sz w:val="24"/>
        </w:rPr>
        <w:t xml:space="preserve">ПРЕДОСТАВЛЕНИЯ ИЗ РЕСПУБЛИКАНСКОГО БЮДЖЕТА</w:t>
      </w:r>
    </w:p>
    <w:p>
      <w:pPr>
        <w:pStyle w:val="2"/>
        <w:jc w:val="center"/>
      </w:pPr>
      <w:r>
        <w:rPr>
          <w:sz w:val="24"/>
        </w:rPr>
        <w:t xml:space="preserve">ЧУВАШСКОЙ РЕСПУБЛИКИ СУБСИДИЙ НА ВОЗМЕЩЕНИЕ ЧАСТИ ЗАТРАТ</w:t>
      </w:r>
    </w:p>
    <w:p>
      <w:pPr>
        <w:pStyle w:val="2"/>
        <w:jc w:val="center"/>
      </w:pPr>
      <w:r>
        <w:rPr>
          <w:sz w:val="24"/>
        </w:rPr>
        <w:t xml:space="preserve">НА ПРИОБРЕТЕНИЕ МОБИЛЬНЫХ ТОРГОВЫХ ОБЪЕКТОВ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Кабинета Министров ЧР от 08.04.2026 </w:t>
            </w:r>
            <w:r>
              <w:rPr>
                <w:sz w:val="24"/>
                <w:color w:val="392c69"/>
              </w:rPr>
              <w:t xml:space="preserve">N 198</w:t>
            </w:r>
            <w:r>
              <w:rPr>
                <w:sz w:val="24"/>
                <w:color w:val="392c69"/>
              </w:rPr>
              <w:t xml:space="preserve">,</w:t>
            </w:r>
          </w:p>
          <w:p>
            <w:pPr>
              <w:pStyle w:val="0"/>
              <w:jc w:val="center"/>
            </w:pPr>
            <w:r>
              <w:rPr>
                <w:sz w:val="24"/>
                <w:color w:val="392c69"/>
              </w:rPr>
              <w:t xml:space="preserve">от 12.08.2026 </w:t>
            </w:r>
            <w:r>
              <w:rPr>
                <w:sz w:val="24"/>
                <w:color w:val="392c69"/>
              </w:rPr>
              <w:t xml:space="preserve">N 509</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1.1. Настоящие Правила устанавливают цель, условия и порядок предоставления из республиканского бюджета Чувашской Республики субсидий на возмещение части затрат организациям потребительской кооперации, субъектам малого и среднего предпринимательства на приобретение мобильных торговых объектов (далее также соответственно - субсидия, получатель субсидии).</w:t>
      </w:r>
    </w:p>
    <w:p>
      <w:pPr>
        <w:pStyle w:val="0"/>
        <w:jc w:val="both"/>
      </w:pPr>
      <w:r>
        <w:rPr>
          <w:sz w:val="24"/>
        </w:rPr>
        <w:t xml:space="preserve">(в ред. </w:t>
      </w:r>
      <w:r>
        <w:rPr>
          <w:sz w:val="24"/>
        </w:rPr>
        <w:t xml:space="preserve">Постановления</w:t>
      </w:r>
      <w:r>
        <w:rPr>
          <w:sz w:val="24"/>
        </w:rPr>
        <w:t xml:space="preserve"> Кабинета Министров ЧР от 08.04.2026 N 198)</w:t>
      </w:r>
    </w:p>
    <w:p>
      <w:pPr>
        <w:pStyle w:val="0"/>
        <w:spacing w:before="240" w:lineRule="auto"/>
        <w:ind w:firstLine="540"/>
        <w:jc w:val="both"/>
      </w:pPr>
      <w:r>
        <w:rPr>
          <w:sz w:val="24"/>
        </w:rPr>
        <w:t xml:space="preserve">1.2. В настоящих Правилах используются следующие основные понятия:</w:t>
      </w:r>
    </w:p>
    <w:p>
      <w:pPr>
        <w:pStyle w:val="0"/>
        <w:spacing w:before="240" w:lineRule="auto"/>
        <w:ind w:firstLine="540"/>
        <w:jc w:val="both"/>
      </w:pPr>
      <w:r>
        <w:rPr>
          <w:sz w:val="24"/>
        </w:rPr>
        <w:t xml:space="preserve">мобильный торговый объект - торговый объект, представляющий собой транспортное средство, включая механические транспортные средства и транспортные средства, предназначенные для движения в составе с механическими транспортными средствами (в том числе автомобили, автолавки, автомагазины, автоприцепы), со специально оснащенным оборудованием, предназначенным и используемым для выкладки, демонстрации товаров, обслуживания покупателей и проведения денежных расчетов с покупателями при продаже товаров, используемое для осуществления развозной торговли;</w:t>
      </w:r>
    </w:p>
    <w:p>
      <w:pPr>
        <w:pStyle w:val="0"/>
        <w:spacing w:before="240" w:lineRule="auto"/>
        <w:ind w:firstLine="540"/>
        <w:jc w:val="both"/>
      </w:pPr>
      <w:r>
        <w:rPr>
          <w:sz w:val="24"/>
        </w:rPr>
        <w:t xml:space="preserve">участники отбора - организации потребительской кооперации, а также субъекты малого и среднего предпринимательства, осуществляющие производство и (или) реализацию товаров, кроме подакцизных, за исключением сахаросодержащих напитков, кроме тонизирующих напитков, а также добычу и (или) реализацию общераспространенных полезных ископаемых, минеральных питьевых вод и лечебных грязей, если иное не предусмотрено Правительством Российской Федерации (далее - субъект малого и среднего предпринимательства), подавшие в установленном порядке заявку на участие в отборе;</w:t>
      </w:r>
    </w:p>
    <w:p>
      <w:pPr>
        <w:pStyle w:val="0"/>
        <w:jc w:val="both"/>
      </w:pPr>
      <w:r>
        <w:rPr>
          <w:sz w:val="24"/>
        </w:rPr>
        <w:t xml:space="preserve">(в ред. </w:t>
      </w:r>
      <w:r>
        <w:rPr>
          <w:sz w:val="24"/>
        </w:rPr>
        <w:t xml:space="preserve">Постановления</w:t>
      </w:r>
      <w:r>
        <w:rPr>
          <w:sz w:val="24"/>
        </w:rPr>
        <w:t xml:space="preserve"> Кабинета Министров ЧР от 12.08.2026 N 509)</w:t>
      </w:r>
    </w:p>
    <w:p>
      <w:pPr>
        <w:pStyle w:val="0"/>
        <w:spacing w:before="240" w:lineRule="auto"/>
        <w:ind w:firstLine="540"/>
        <w:jc w:val="both"/>
      </w:pPr>
      <w:r>
        <w:rPr>
          <w:sz w:val="24"/>
        </w:rPr>
        <w:t xml:space="preserve">заявка на участие в отборе - сформированная участником отбора в государственной интегрированной информационной системе управления общественными финансами "Электронный бюджет" (далее - система "Электронный бюджет") заявка и документы к ней, предусмотренные </w:t>
      </w:r>
      <w:hyperlink w:history="0" w:anchor="P103" w:tooltip="2.4. Заявка подается в соответствии с требованиями и в сроки, которые указаны в объявлении о проведении отбора согласно пункту 3.1 настоящих Правил.">
        <w:r>
          <w:rPr>
            <w:sz w:val="24"/>
            <w:color w:val="0000ff"/>
          </w:rPr>
          <w:t xml:space="preserve">пунктом 2.4</w:t>
        </w:r>
      </w:hyperlink>
      <w:r>
        <w:rPr>
          <w:sz w:val="24"/>
        </w:rPr>
        <w:t xml:space="preserve"> настоящих Правил (далее - заявка);</w:t>
      </w:r>
    </w:p>
    <w:p>
      <w:pPr>
        <w:pStyle w:val="0"/>
        <w:spacing w:before="240" w:lineRule="auto"/>
        <w:ind w:firstLine="540"/>
        <w:jc w:val="both"/>
      </w:pPr>
      <w:r>
        <w:rPr>
          <w:sz w:val="24"/>
        </w:rPr>
        <w:t xml:space="preserve">отдаленные малочисленные населенные пункты Чувашской Республики - населенные пункты Чувашской Республики, в которых отсутствует стационарная и развозная торговля, удаленные от ближайшего населенного пункта с действующими стационарными объектами торговли на 1,0 км и более, указанные в </w:t>
      </w:r>
      <w:hyperlink w:history="0" w:anchor="P368" w:tooltip="ПЕРЕЧЕНЬ">
        <w:r>
          <w:rPr>
            <w:sz w:val="24"/>
            <w:color w:val="0000ff"/>
          </w:rPr>
          <w:t xml:space="preserve">перечне</w:t>
        </w:r>
      </w:hyperlink>
      <w:r>
        <w:rPr>
          <w:sz w:val="24"/>
        </w:rPr>
        <w:t xml:space="preserve"> отдаленных малочисленных населенных пунктов Чувашской Республики, в которых необходима организация развозной торговли социально значимыми продовольственными товарами первой необходимости, приведенном в приложении N 1 к настоящим Правилам.</w:t>
      </w:r>
    </w:p>
    <w:p>
      <w:pPr>
        <w:pStyle w:val="0"/>
        <w:spacing w:before="240" w:lineRule="auto"/>
        <w:ind w:firstLine="540"/>
        <w:jc w:val="both"/>
      </w:pPr>
      <w:r>
        <w:rPr>
          <w:sz w:val="24"/>
        </w:rPr>
        <w:t xml:space="preserve">Иные понятия и термины, используемые в настоящих Правилах, применяются в значениях, определенных законодательством Российской Федерации и законодательством Чувашской Республики.</w:t>
      </w:r>
    </w:p>
    <w:bookmarkStart w:id="51" w:name="P51"/>
    <w:bookmarkEnd w:id="51"/>
    <w:p>
      <w:pPr>
        <w:pStyle w:val="0"/>
        <w:spacing w:before="240" w:lineRule="auto"/>
        <w:ind w:firstLine="540"/>
        <w:jc w:val="both"/>
      </w:pPr>
      <w:r>
        <w:rPr>
          <w:sz w:val="24"/>
        </w:rPr>
        <w:t xml:space="preserve">1.3. Субсидии предоставляются в рамках реализации комплекса процессных мероприятий "Совершенствование потребительского рынка и системы защиты прав потребителей" государственной </w:t>
      </w:r>
      <w:r>
        <w:rPr>
          <w:sz w:val="24"/>
        </w:rPr>
        <w:t xml:space="preserve">программы</w:t>
      </w:r>
      <w:r>
        <w:rPr>
          <w:sz w:val="24"/>
        </w:rPr>
        <w:t xml:space="preserve"> Чувашской Республики "Экономическое развитие Чувашской Республики", утвержденной постановлением Кабинета Министров Чувашской Республики от 5 декабря 2018 г. N 496, предусматривающего мероприятия по развитию инфраструктуры в сфере потребительского рынка.</w:t>
      </w:r>
    </w:p>
    <w:p>
      <w:pPr>
        <w:pStyle w:val="0"/>
        <w:spacing w:before="240" w:lineRule="auto"/>
        <w:ind w:firstLine="540"/>
        <w:jc w:val="both"/>
      </w:pPr>
      <w:r>
        <w:rPr>
          <w:sz w:val="24"/>
        </w:rPr>
        <w:t xml:space="preserve">Целью предоставления субсидий является снижение затрат организаций потребительской кооперации, субъектов малого и среднего предпринимательства, осуществляющих развозную торговлю социально значимыми продовольственными товарами первой необходимости в отдаленных малочисленных населенных пунктах.</w:t>
      </w:r>
    </w:p>
    <w:p>
      <w:pPr>
        <w:pStyle w:val="0"/>
        <w:jc w:val="both"/>
      </w:pPr>
      <w:r>
        <w:rPr>
          <w:sz w:val="24"/>
        </w:rPr>
        <w:t xml:space="preserve">(в ред. </w:t>
      </w:r>
      <w:r>
        <w:rPr>
          <w:sz w:val="24"/>
        </w:rPr>
        <w:t xml:space="preserve">Постановления</w:t>
      </w:r>
      <w:r>
        <w:rPr>
          <w:sz w:val="24"/>
        </w:rPr>
        <w:t xml:space="preserve"> Кабинета Министров ЧР от 08.04.2026 N 198)</w:t>
      </w:r>
    </w:p>
    <w:p>
      <w:pPr>
        <w:pStyle w:val="0"/>
        <w:spacing w:before="240" w:lineRule="auto"/>
        <w:ind w:firstLine="540"/>
        <w:jc w:val="both"/>
      </w:pPr>
      <w:r>
        <w:rPr>
          <w:sz w:val="24"/>
        </w:rPr>
        <w:t xml:space="preserve">Направлениями затрат, на возмещение которых предоставляется субсидия, являются выраженные в денежной форме, фактически произведенные и документально подтвержденные расходы организаций потребительской кооперации, субъектов малого и среднего предпринимательства на приобретение мобильного торгового объекта, равные его фактической стоимости (за исключением налога на добавленную стоимость).</w:t>
      </w:r>
    </w:p>
    <w:p>
      <w:pPr>
        <w:pStyle w:val="0"/>
        <w:jc w:val="both"/>
      </w:pPr>
      <w:r>
        <w:rPr>
          <w:sz w:val="24"/>
        </w:rPr>
        <w:t xml:space="preserve">(в ред. </w:t>
      </w:r>
      <w:r>
        <w:rPr>
          <w:sz w:val="24"/>
        </w:rPr>
        <w:t xml:space="preserve">Постановления</w:t>
      </w:r>
      <w:r>
        <w:rPr>
          <w:sz w:val="24"/>
        </w:rPr>
        <w:t xml:space="preserve"> Кабинета Министров ЧР от 08.04.2026 N 198)</w:t>
      </w:r>
    </w:p>
    <w:p>
      <w:pPr>
        <w:pStyle w:val="0"/>
        <w:spacing w:before="240" w:lineRule="auto"/>
        <w:ind w:firstLine="540"/>
        <w:jc w:val="both"/>
      </w:pPr>
      <w:r>
        <w:rPr>
          <w:sz w:val="24"/>
        </w:rPr>
        <w:t xml:space="preserve">Для получателей субсидий,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на приобретение мобильного торгового объекта, включая сумму налога на добавленную стоимость.</w:t>
      </w:r>
    </w:p>
    <w:p>
      <w:pPr>
        <w:pStyle w:val="0"/>
        <w:spacing w:before="240" w:lineRule="auto"/>
        <w:ind w:firstLine="540"/>
        <w:jc w:val="both"/>
      </w:pPr>
      <w:r>
        <w:rPr>
          <w:sz w:val="24"/>
        </w:rPr>
        <w:t xml:space="preserve">1.4. В соответствии с законом Чувашской Республики о республиканском бюджете Чувашской Республики на текущий финансовый год и плановый период главным распорядителем средств республиканского бюджета Чувашской Республики, направляемых на возмещение части затрат на приобретение мобильных торговых объектов, является Министерство экономического развития и имущественных отношений Чувашской Республики (далее - Минэкономразвития Чувашии).</w:t>
      </w:r>
    </w:p>
    <w:p>
      <w:pPr>
        <w:pStyle w:val="0"/>
        <w:spacing w:before="240" w:lineRule="auto"/>
        <w:ind w:firstLine="540"/>
        <w:jc w:val="both"/>
      </w:pPr>
      <w:r>
        <w:rPr>
          <w:sz w:val="24"/>
        </w:rPr>
        <w:t xml:space="preserve">Предоставление субсидий на цель, указанную в </w:t>
      </w:r>
      <w:hyperlink w:history="0" w:anchor="P51" w:tooltip="1.3. Субсидии предоставляются в рамках реализации комплекса процессных мероприятий &quot;Совершенствование потребительского рынка и системы защиты прав потребителей&quot; государственной программы Чувашской Республики &quot;Экономическое развитие Чувашской Республики&quot;, утвержденной постановлением Кабинета Министров Чувашской Республики от 5 декабря 2018 г. N 496, предусматривающего мероприятия по развитию инфраструктуры в сфере потребительского рынка.">
        <w:r>
          <w:rPr>
            <w:sz w:val="24"/>
            <w:color w:val="0000ff"/>
          </w:rPr>
          <w:t xml:space="preserve">пункте 1.3</w:t>
        </w:r>
      </w:hyperlink>
      <w:r>
        <w:rPr>
          <w:sz w:val="24"/>
        </w:rPr>
        <w:t xml:space="preserve"> настоящих Правил, осуществляется за счет средств республиканского бюджета Чувашской Республики, предусмотренных по разделу 0412 "Национальная экономика", подразделу 0412 "Другие вопросы в области национальной экономики", в пределах бюджетных ассигнований республиканского бюджета Чувашской Республики, предусмотренных законом Чувашской Республики о республиканском бюджете Чувашской Республики на соответствующий финансовый год и плановый период, и лимитов бюджетных обязательств, доведенных в установленном порядке до Минэкономразвития Чувашии на соответствующий финансовый год (далее соответственно - бюджетные ассигнования, лимиты бюджетных обязательств).</w:t>
      </w:r>
    </w:p>
    <w:p>
      <w:pPr>
        <w:pStyle w:val="0"/>
        <w:spacing w:before="240" w:lineRule="auto"/>
        <w:ind w:firstLine="540"/>
        <w:jc w:val="both"/>
      </w:pPr>
      <w:r>
        <w:rPr>
          <w:sz w:val="24"/>
        </w:rPr>
        <w:t xml:space="preserve">Минэкономразвития Чувашии обеспечивает результативность, адресность и целевой характер использования субсидий в соответствии с утвержденными бюджетными ассигнованиями и лимитами бюджетных обязательств.</w:t>
      </w:r>
    </w:p>
    <w:bookmarkStart w:id="60" w:name="P60"/>
    <w:bookmarkEnd w:id="60"/>
    <w:p>
      <w:pPr>
        <w:pStyle w:val="0"/>
        <w:spacing w:before="240" w:lineRule="auto"/>
        <w:ind w:firstLine="540"/>
        <w:jc w:val="both"/>
      </w:pPr>
      <w:r>
        <w:rPr>
          <w:sz w:val="24"/>
        </w:rPr>
        <w:t xml:space="preserve">1.5. Организациям потребительской кооперации, субъектам малого и среднего предпринимательства возмещается до 30 процентов фактически произведенных и документально подтвержденных расходов на покупку (приобретение) мобильного торгового объекта в текущем и (или) предыдущем календарном году, но не ранее 2025 года.</w:t>
      </w:r>
    </w:p>
    <w:p>
      <w:pPr>
        <w:pStyle w:val="0"/>
        <w:jc w:val="both"/>
      </w:pPr>
      <w:r>
        <w:rPr>
          <w:sz w:val="24"/>
        </w:rPr>
        <w:t xml:space="preserve">(п. 1.5 в ред. </w:t>
      </w:r>
      <w:r>
        <w:rPr>
          <w:sz w:val="24"/>
        </w:rPr>
        <w:t xml:space="preserve">Постановления</w:t>
      </w:r>
      <w:r>
        <w:rPr>
          <w:sz w:val="24"/>
        </w:rPr>
        <w:t xml:space="preserve"> Кабинета Министров ЧР от 08.04.2026 N 198)</w:t>
      </w:r>
    </w:p>
    <w:p>
      <w:pPr>
        <w:pStyle w:val="0"/>
        <w:spacing w:before="240" w:lineRule="auto"/>
        <w:ind w:firstLine="540"/>
        <w:jc w:val="both"/>
      </w:pPr>
      <w:r>
        <w:rPr>
          <w:sz w:val="24"/>
        </w:rPr>
        <w:t xml:space="preserve">1.6. Информация о субсидиях размещается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(в разделе единого портала) в порядке, установленном Министерством финансов Российской Федерации (далее - Минфин России), в течение 10 рабочих дней со дня, следующего за днем доведения бюджетных ассигнований на предоставление субсидий до Минэкономразвития Чувашии.</w:t>
      </w:r>
    </w:p>
    <w:p>
      <w:pPr>
        <w:pStyle w:val="0"/>
        <w:jc w:val="both"/>
      </w:pPr>
      <w:r>
        <w:rPr>
          <w:sz w:val="24"/>
        </w:rPr>
        <w:t xml:space="preserve">(п. 1.6 в ред. </w:t>
      </w:r>
      <w:r>
        <w:rPr>
          <w:sz w:val="24"/>
        </w:rPr>
        <w:t xml:space="preserve">Постановления</w:t>
      </w:r>
      <w:r>
        <w:rPr>
          <w:sz w:val="24"/>
        </w:rPr>
        <w:t xml:space="preserve"> Кабинета Министров ЧР от 08.04.2026 N 198)</w:t>
      </w:r>
    </w:p>
    <w:p>
      <w:pPr>
        <w:pStyle w:val="0"/>
        <w:jc w:val="both"/>
      </w:pPr>
      <w:r>
        <w:rPr>
          <w:sz w:val="24"/>
        </w:rPr>
      </w:r>
    </w:p>
    <w:p>
      <w:pPr>
        <w:pStyle w:val="2"/>
        <w:outlineLvl w:val="1"/>
        <w:jc w:val="center"/>
      </w:pPr>
      <w:r>
        <w:rPr>
          <w:sz w:val="24"/>
        </w:rPr>
        <w:t xml:space="preserve">II. Условия и порядок предоставления субсидии</w:t>
      </w:r>
    </w:p>
    <w:p>
      <w:pPr>
        <w:pStyle w:val="0"/>
        <w:jc w:val="both"/>
      </w:pPr>
      <w:r>
        <w:rPr>
          <w:sz w:val="24"/>
        </w:rPr>
      </w:r>
    </w:p>
    <w:bookmarkStart w:id="67" w:name="P67"/>
    <w:bookmarkEnd w:id="67"/>
    <w:p>
      <w:pPr>
        <w:pStyle w:val="0"/>
        <w:ind w:firstLine="540"/>
        <w:jc w:val="both"/>
      </w:pPr>
      <w:r>
        <w:rPr>
          <w:sz w:val="24"/>
        </w:rPr>
        <w:t xml:space="preserve">2.1. Участник отбора на даты рассмотрения заявки и заключения соглашения должен соответствовать следующим требованиям:</w:t>
      </w:r>
    </w:p>
    <w:bookmarkStart w:id="68" w:name="P68"/>
    <w:bookmarkEnd w:id="68"/>
    <w:p>
      <w:pPr>
        <w:pStyle w:val="0"/>
        <w:spacing w:before="240" w:lineRule="auto"/>
        <w:ind w:firstLine="540"/>
        <w:jc w:val="both"/>
      </w:pPr>
      <w:r>
        <w:rPr>
          <w:sz w:val="24"/>
        </w:rPr>
        <w:t xml:space="preserve">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Минфином России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учитываются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40" w:lineRule="auto"/>
        <w:ind w:firstLine="540"/>
        <w:jc w:val="both"/>
      </w:pPr>
      <w:r>
        <w:rPr>
          <w:sz w:val="24"/>
        </w:rPr>
        <w:t xml:space="preserve">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40" w:lineRule="auto"/>
        <w:ind w:firstLine="540"/>
        <w:jc w:val="both"/>
      </w:pPr>
      <w:r>
        <w:rPr>
          <w:sz w:val="24"/>
        </w:rPr>
        <w:t xml:space="preserve">участник отбора не находится в составляемых в рамках реализации полномочий, предусмотренных </w:t>
      </w:r>
      <w:r>
        <w:rPr>
          <w:sz w:val="24"/>
        </w:rPr>
        <w:t xml:space="preserve">главой VII</w:t>
      </w:r>
      <w:r>
        <w:rPr>
          <w:sz w:val="24"/>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40" w:lineRule="auto"/>
        <w:ind w:firstLine="540"/>
        <w:jc w:val="both"/>
      </w:pPr>
      <w:r>
        <w:rPr>
          <w:sz w:val="24"/>
        </w:rPr>
        <w:t xml:space="preserve">участник отбора не является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spacing w:before="240" w:lineRule="auto"/>
        <w:ind w:firstLine="540"/>
        <w:jc w:val="both"/>
      </w:pPr>
      <w:r>
        <w:rPr>
          <w:sz w:val="24"/>
        </w:rPr>
        <w:t xml:space="preserve">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 отбора, являющийся индивидуальным предпринимателем, не прекратил деятельность в качестве индивидуального предпринимателя;</w:t>
      </w:r>
    </w:p>
    <w:bookmarkStart w:id="73" w:name="P73"/>
    <w:bookmarkEnd w:id="73"/>
    <w:p>
      <w:pPr>
        <w:pStyle w:val="0"/>
        <w:spacing w:before="240" w:lineRule="auto"/>
        <w:ind w:firstLine="540"/>
        <w:jc w:val="both"/>
      </w:pPr>
      <w:r>
        <w:rPr>
          <w:sz w:val="24"/>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являющемся участником отбора;</w:t>
      </w:r>
    </w:p>
    <w:bookmarkStart w:id="74" w:name="P74"/>
    <w:bookmarkEnd w:id="74"/>
    <w:p>
      <w:pPr>
        <w:pStyle w:val="0"/>
        <w:spacing w:before="240" w:lineRule="auto"/>
        <w:ind w:firstLine="540"/>
        <w:jc w:val="both"/>
      </w:pPr>
      <w:r>
        <w:rPr>
          <w:sz w:val="24"/>
        </w:rPr>
        <w:t xml:space="preserve">у участника отбора отсутствуют просроченная задолженность по возврату в республиканский бюджет Чувашской Республики иных субсидий, бюджетных инвестиций, а также иная просроченная (неурегулированная) задолженность по денежным обязательствам перед Чувашской Республикой;</w:t>
      </w:r>
    </w:p>
    <w:bookmarkStart w:id="75" w:name="P75"/>
    <w:bookmarkEnd w:id="75"/>
    <w:p>
      <w:pPr>
        <w:pStyle w:val="0"/>
        <w:spacing w:before="240" w:lineRule="auto"/>
        <w:ind w:firstLine="540"/>
        <w:jc w:val="both"/>
      </w:pPr>
      <w:r>
        <w:rPr>
          <w:sz w:val="24"/>
        </w:rPr>
        <w:t xml:space="preserve">участник отбора не получает средства из республиканского бюджета Чувашской Республики на основании иных нормативных правовых актов Чувашской Республики на цель, указанную в </w:t>
      </w:r>
      <w:hyperlink w:history="0" w:anchor="P51" w:tooltip="1.3. Субсидии предоставляются в рамках реализации комплекса процессных мероприятий &quot;Совершенствование потребительского рынка и системы защиты прав потребителей&quot; государственной программы Чувашской Республики &quot;Экономическое развитие Чувашской Республики&quot;, утвержденной постановлением Кабинета Министров Чувашской Республики от 5 декабря 2018 г. N 496, предусматривающего мероприятия по развитию инфраструктуры в сфере потребительского рынка.">
        <w:r>
          <w:rPr>
            <w:sz w:val="24"/>
            <w:color w:val="0000ff"/>
          </w:rPr>
          <w:t xml:space="preserve">пункте 1.3</w:t>
        </w:r>
      </w:hyperlink>
      <w:r>
        <w:rPr>
          <w:sz w:val="24"/>
        </w:rPr>
        <w:t xml:space="preserve"> настоящих Правил;</w:t>
      </w:r>
    </w:p>
    <w:p>
      <w:pPr>
        <w:pStyle w:val="0"/>
        <w:spacing w:before="240" w:lineRule="auto"/>
        <w:ind w:firstLine="540"/>
        <w:jc w:val="both"/>
      </w:pPr>
      <w:r>
        <w:rPr>
          <w:sz w:val="24"/>
        </w:rPr>
        <w:t xml:space="preserve">у участника отбора на едином налоговом счете отсутствует или не превышает размер, определенный </w:t>
      </w:r>
      <w:r>
        <w:rPr>
          <w:sz w:val="24"/>
        </w:rPr>
        <w:t xml:space="preserve">пунктом 3 статьи 47</w:t>
      </w:r>
      <w:r>
        <w:rPr>
          <w:sz w:val="24"/>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чем за 15 рабочих дней до дня подачи заявки (в случае если участником отбора по собственной инициативе представлена справка о наличии на дату формирования </w:t>
      </w:r>
      <w:r>
        <w:rPr>
          <w:sz w:val="24"/>
        </w:rPr>
        <w:t xml:space="preserve">справки</w:t>
      </w:r>
      <w:r>
        <w:rPr>
          <w:sz w:val="24"/>
        </w:rPr>
        <w:t xml:space="preserve">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(форма по КНД 1160082) (далее также - справка из налогового органа) или на дату не позднее 15 рабочих дней после дня окончания приема заявок, указанного в объявлении о проведении отбора (в случае если участником отбора по собственной инициативе не представлена справка из налогового органа).</w:t>
      </w:r>
    </w:p>
    <w:bookmarkStart w:id="77" w:name="P77"/>
    <w:bookmarkEnd w:id="77"/>
    <w:p>
      <w:pPr>
        <w:pStyle w:val="0"/>
        <w:spacing w:before="240" w:lineRule="auto"/>
        <w:ind w:firstLine="540"/>
        <w:jc w:val="both"/>
      </w:pPr>
      <w:r>
        <w:rPr>
          <w:sz w:val="24"/>
        </w:rPr>
        <w:t xml:space="preserve">2.2. Субсидии предоставляются при соблюдении следующих условий:</w:t>
      </w:r>
    </w:p>
    <w:p>
      <w:pPr>
        <w:pStyle w:val="0"/>
        <w:spacing w:before="240" w:lineRule="auto"/>
        <w:ind w:firstLine="540"/>
        <w:jc w:val="both"/>
      </w:pPr>
      <w:r>
        <w:rPr>
          <w:sz w:val="24"/>
        </w:rPr>
        <w:t xml:space="preserve">а) участник отбора зарегистрирован и осуществляет в соответствии со своими учредительными документами (для юридических лиц) или в соответствии со сведениями Единого государственного реестра индивидуальных предпринимателей (для индивидуальных предпринимателей) деятельность на территории Чувашской Республики;</w:t>
      </w:r>
    </w:p>
    <w:p>
      <w:pPr>
        <w:pStyle w:val="0"/>
        <w:jc w:val="both"/>
      </w:pPr>
      <w:r>
        <w:rPr>
          <w:sz w:val="24"/>
        </w:rPr>
        <w:t xml:space="preserve">(в ред. </w:t>
      </w:r>
      <w:r>
        <w:rPr>
          <w:sz w:val="24"/>
        </w:rPr>
        <w:t xml:space="preserve">Постановления</w:t>
      </w:r>
      <w:r>
        <w:rPr>
          <w:sz w:val="24"/>
        </w:rPr>
        <w:t xml:space="preserve"> Кабинета Министров ЧР от 08.04.2026 N 198)</w:t>
      </w:r>
    </w:p>
    <w:p>
      <w:pPr>
        <w:pStyle w:val="0"/>
        <w:spacing w:before="240" w:lineRule="auto"/>
        <w:ind w:firstLine="540"/>
        <w:jc w:val="both"/>
      </w:pPr>
      <w:r>
        <w:rPr>
          <w:sz w:val="24"/>
        </w:rPr>
        <w:t xml:space="preserve">б) участник отбора осуществляет деятельность в сфере розничной торговли, кроме торговли автотранспортными средствами и мотоциклами, включенной в раздел G </w:t>
      </w:r>
      <w:r>
        <w:rPr>
          <w:sz w:val="24"/>
        </w:rPr>
        <w:t xml:space="preserve">(код 47)</w:t>
      </w:r>
      <w:r>
        <w:rPr>
          <w:sz w:val="24"/>
        </w:rPr>
        <w:t xml:space="preserve"> Общероссийского классификатора видов экономической деятельности ОК 029-2014 (КДЕС Ред. 2);</w:t>
      </w:r>
    </w:p>
    <w:p>
      <w:pPr>
        <w:pStyle w:val="0"/>
        <w:jc w:val="both"/>
      </w:pPr>
      <w:r>
        <w:rPr>
          <w:sz w:val="24"/>
        </w:rPr>
        <w:t xml:space="preserve">(в ред. </w:t>
      </w:r>
      <w:r>
        <w:rPr>
          <w:sz w:val="24"/>
        </w:rPr>
        <w:t xml:space="preserve">Постановления</w:t>
      </w:r>
      <w:r>
        <w:rPr>
          <w:sz w:val="24"/>
        </w:rPr>
        <w:t xml:space="preserve"> Кабинета Министров ЧР от 08.04.2026 N 198)</w:t>
      </w:r>
    </w:p>
    <w:p>
      <w:pPr>
        <w:pStyle w:val="0"/>
        <w:spacing w:before="240" w:lineRule="auto"/>
        <w:ind w:firstLine="540"/>
        <w:jc w:val="both"/>
      </w:pPr>
      <w:r>
        <w:rPr>
          <w:sz w:val="24"/>
        </w:rPr>
        <w:t xml:space="preserve">в) размер среднемесячной заработной платы работников участника отбора за предыдущий год должен составлять:</w:t>
      </w:r>
    </w:p>
    <w:p>
      <w:pPr>
        <w:pStyle w:val="0"/>
        <w:jc w:val="both"/>
      </w:pPr>
      <w:r>
        <w:rPr>
          <w:sz w:val="24"/>
        </w:rPr>
        <w:t xml:space="preserve">(в ред. </w:t>
      </w:r>
      <w:r>
        <w:rPr>
          <w:sz w:val="24"/>
        </w:rPr>
        <w:t xml:space="preserve">Постановления</w:t>
      </w:r>
      <w:r>
        <w:rPr>
          <w:sz w:val="24"/>
        </w:rPr>
        <w:t xml:space="preserve"> Кабинета Министров ЧР от 08.04.2026 N 198)</w:t>
      </w:r>
    </w:p>
    <w:p>
      <w:pPr>
        <w:pStyle w:val="0"/>
        <w:spacing w:before="240" w:lineRule="auto"/>
        <w:ind w:firstLine="540"/>
        <w:jc w:val="both"/>
      </w:pPr>
      <w:r>
        <w:rPr>
          <w:sz w:val="24"/>
        </w:rPr>
        <w:t xml:space="preserve">для среднего предприятия - не менее 1,5 минимального размера оплаты труда, установленного законодательством Российской Федерации по состоянию на 1 января отчетного финансового года;</w:t>
      </w:r>
    </w:p>
    <w:p>
      <w:pPr>
        <w:pStyle w:val="0"/>
        <w:spacing w:before="240" w:lineRule="auto"/>
        <w:ind w:firstLine="540"/>
        <w:jc w:val="both"/>
      </w:pPr>
      <w:r>
        <w:rPr>
          <w:sz w:val="24"/>
        </w:rPr>
        <w:t xml:space="preserve">для малого предприятия и микропредприятия, являющегося работодателем, - не менее 1 минимального размера оплаты труда, установленного законодательством Российской Федерации по состоянию на 1 января отчетного финансового года;</w:t>
      </w:r>
    </w:p>
    <w:p>
      <w:pPr>
        <w:pStyle w:val="0"/>
        <w:spacing w:before="240" w:lineRule="auto"/>
        <w:ind w:firstLine="540"/>
        <w:jc w:val="both"/>
      </w:pPr>
      <w:r>
        <w:rPr>
          <w:sz w:val="24"/>
        </w:rPr>
        <w:t xml:space="preserve">г) приобретенный мобильный торговый объект должен быть новым, не бывшим в употреблении на дату покупки, текущего или предшествующего года выпуска;</w:t>
      </w:r>
    </w:p>
    <w:p>
      <w:pPr>
        <w:pStyle w:val="0"/>
        <w:spacing w:before="240" w:lineRule="auto"/>
        <w:ind w:firstLine="540"/>
        <w:jc w:val="both"/>
      </w:pPr>
      <w:r>
        <w:rPr>
          <w:sz w:val="24"/>
        </w:rPr>
        <w:t xml:space="preserve">д) затраты на приобретение мобильного торгового объекта должны быть документально подтверждены;</w:t>
      </w:r>
    </w:p>
    <w:p>
      <w:pPr>
        <w:pStyle w:val="0"/>
        <w:spacing w:before="240" w:lineRule="auto"/>
        <w:ind w:firstLine="540"/>
        <w:jc w:val="both"/>
      </w:pPr>
      <w:r>
        <w:rPr>
          <w:sz w:val="24"/>
        </w:rPr>
        <w:t xml:space="preserve">е) полная оплата стоимости мобильного торгового объекта в соответствии с договором купли-продажи (поставки) мобильного торгового объекта;</w:t>
      </w:r>
    </w:p>
    <w:p>
      <w:pPr>
        <w:pStyle w:val="0"/>
        <w:spacing w:before="240" w:lineRule="auto"/>
        <w:ind w:firstLine="540"/>
        <w:jc w:val="both"/>
      </w:pPr>
      <w:r>
        <w:rPr>
          <w:sz w:val="24"/>
        </w:rPr>
        <w:t xml:space="preserve">ж) обязанность получателя субсидии использовать мобильный торговый объект в том числе для организации развозной торговли не менее одного раза в неделю в течение трех лет с даты получения субсидии с охватом не менее чем пяти отдаленных малочисленных населенных пунктов, указанных в </w:t>
      </w:r>
      <w:hyperlink w:history="0" w:anchor="P368" w:tooltip="ПЕРЕЧЕНЬ">
        <w:r>
          <w:rPr>
            <w:sz w:val="24"/>
            <w:color w:val="0000ff"/>
          </w:rPr>
          <w:t xml:space="preserve">приложении N 1</w:t>
        </w:r>
      </w:hyperlink>
      <w:r>
        <w:rPr>
          <w:sz w:val="24"/>
        </w:rPr>
        <w:t xml:space="preserve"> к настоящим Правилам, в течение срока действия соглашения о предоставлении субсидии из республиканского бюджета Чувашской Республики (далее - соглашение), заключенного между Минэкономразвития Чувашии и получателем субсидии в соответствии с типовой формой, установленной Министерством финансов Чувашской Республики (далее - Минфин Чувашии) для соглашений в системе "Электронный бюджет" (при наличии технической возможности);</w:t>
      </w:r>
    </w:p>
    <w:p>
      <w:pPr>
        <w:pStyle w:val="0"/>
        <w:spacing w:before="240" w:lineRule="auto"/>
        <w:ind w:firstLine="540"/>
        <w:jc w:val="both"/>
      </w:pPr>
      <w:r>
        <w:rPr>
          <w:sz w:val="24"/>
        </w:rPr>
        <w:t xml:space="preserve">з) со дня предоставления участнику отбора аналогичной поддержки прошло не менее одного года.</w:t>
      </w:r>
    </w:p>
    <w:p>
      <w:pPr>
        <w:pStyle w:val="0"/>
        <w:jc w:val="both"/>
      </w:pPr>
      <w:r>
        <w:rPr>
          <w:sz w:val="24"/>
        </w:rPr>
        <w:t xml:space="preserve">(в ред. </w:t>
      </w:r>
      <w:r>
        <w:rPr>
          <w:sz w:val="24"/>
        </w:rPr>
        <w:t xml:space="preserve">Постановления</w:t>
      </w:r>
      <w:r>
        <w:rPr>
          <w:sz w:val="24"/>
        </w:rPr>
        <w:t xml:space="preserve"> Кабинета Министров ЧР от 08.04.2026 N 198)</w:t>
      </w:r>
    </w:p>
    <w:bookmarkStart w:id="92" w:name="P92"/>
    <w:bookmarkEnd w:id="92"/>
    <w:p>
      <w:pPr>
        <w:pStyle w:val="0"/>
        <w:spacing w:before="240" w:lineRule="auto"/>
        <w:ind w:firstLine="540"/>
        <w:jc w:val="both"/>
      </w:pPr>
      <w:r>
        <w:rPr>
          <w:sz w:val="24"/>
        </w:rPr>
        <w:t xml:space="preserve">2.3. Проверка участника отбора на соответствие требованиям, указанным в </w:t>
      </w:r>
      <w:hyperlink w:history="0" w:anchor="P68" w:tooltip="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фином Росс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
        <w:r>
          <w:rPr>
            <w:sz w:val="24"/>
            <w:color w:val="0000ff"/>
          </w:rPr>
          <w:t xml:space="preserve">абзацах втором</w:t>
        </w:r>
      </w:hyperlink>
      <w:r>
        <w:rPr>
          <w:sz w:val="24"/>
        </w:rPr>
        <w:t xml:space="preserve"> - </w:t>
      </w:r>
      <w:hyperlink w:history="0" w:anchor="P73" w:tooltip="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являющемся участником отбора;">
        <w:r>
          <w:rPr>
            <w:sz w:val="24"/>
            <w:color w:val="0000ff"/>
          </w:rPr>
          <w:t xml:space="preserve">седьмом пункта 2.1</w:t>
        </w:r>
      </w:hyperlink>
      <w:r>
        <w:rPr>
          <w:sz w:val="24"/>
        </w:rPr>
        <w:t xml:space="preserve"> настоящих Правил,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по состоянию на даты рассмотрения заявки и заключения соглашения.</w:t>
      </w:r>
    </w:p>
    <w:p>
      <w:pPr>
        <w:pStyle w:val="0"/>
        <w:spacing w:before="240" w:lineRule="auto"/>
        <w:ind w:firstLine="540"/>
        <w:jc w:val="both"/>
      </w:pPr>
      <w:r>
        <w:rPr>
          <w:sz w:val="24"/>
        </w:rPr>
        <w:t xml:space="preserve">Подтверждение соответствия участника отбора требованиям, указанным в </w:t>
      </w:r>
      <w:hyperlink w:history="0" w:anchor="P68" w:tooltip="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фином Росс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
        <w:r>
          <w:rPr>
            <w:sz w:val="24"/>
            <w:color w:val="0000ff"/>
          </w:rPr>
          <w:t xml:space="preserve">абзацах втором</w:t>
        </w:r>
      </w:hyperlink>
      <w:r>
        <w:rPr>
          <w:sz w:val="24"/>
        </w:rPr>
        <w:t xml:space="preserve"> - </w:t>
      </w:r>
      <w:hyperlink w:history="0" w:anchor="P73" w:tooltip="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являющемся участником отбора;">
        <w:r>
          <w:rPr>
            <w:sz w:val="24"/>
            <w:color w:val="0000ff"/>
          </w:rPr>
          <w:t xml:space="preserve">седьмом пункта 2.1</w:t>
        </w:r>
      </w:hyperlink>
      <w:r>
        <w:rPr>
          <w:sz w:val="24"/>
        </w:rPr>
        <w:t xml:space="preserve"> настоящих Правил, в случае отсутствия технической возможности осуществления автоматической проверки в системе "Электронный бюджет"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bookmarkStart w:id="94" w:name="P94"/>
    <w:bookmarkEnd w:id="94"/>
    <w:p>
      <w:pPr>
        <w:pStyle w:val="0"/>
        <w:spacing w:before="240" w:lineRule="auto"/>
        <w:ind w:firstLine="540"/>
        <w:jc w:val="both"/>
      </w:pPr>
      <w:r>
        <w:rPr>
          <w:sz w:val="24"/>
        </w:rPr>
        <w:t xml:space="preserve">В целях проверки соответствия участника отбора требованиям, указанным в </w:t>
      </w:r>
      <w:hyperlink w:history="0" w:anchor="P74" w:tooltip="у участника отбора отсутствуют просроченная задолженность по возврату в республиканский бюджет Чувашской Республики иных субсидий, бюджетных инвестиций, а также иная просроченная (неурегулированная) задолженность по денежным обязательствам перед Чувашской Республикой;">
        <w:r>
          <w:rPr>
            <w:sz w:val="24"/>
            <w:color w:val="0000ff"/>
          </w:rPr>
          <w:t xml:space="preserve">абзацах восьмом</w:t>
        </w:r>
      </w:hyperlink>
      <w:r>
        <w:rPr>
          <w:sz w:val="24"/>
        </w:rPr>
        <w:t xml:space="preserve"> и </w:t>
      </w:r>
      <w:hyperlink w:history="0" w:anchor="P75" w:tooltip="участник отбора не получает средства из республиканского бюджета Чувашской Республики на основании иных нормативных правовых актов Чувашской Республики на цель, указанную в пункте 1.3 настоящих Правил;">
        <w:r>
          <w:rPr>
            <w:sz w:val="24"/>
            <w:color w:val="0000ff"/>
          </w:rPr>
          <w:t xml:space="preserve">девятом пункта 2.1</w:t>
        </w:r>
      </w:hyperlink>
      <w:r>
        <w:rPr>
          <w:sz w:val="24"/>
        </w:rPr>
        <w:t xml:space="preserve"> настоящих Правил, Минэкономразвития Чувашии в порядке, предусмотренном законодательством Российской Федерации и законодательством Чувашской Республики, в течение одного рабочего дня со дня окончания приема заявок, указанного в объявлении о проведении отбора, направляет межведомственный запрос о представлении по состоянию на даты рассмотрения заявки и заключения соглашения:</w:t>
      </w:r>
    </w:p>
    <w:p>
      <w:pPr>
        <w:pStyle w:val="0"/>
        <w:spacing w:before="240" w:lineRule="auto"/>
        <w:ind w:firstLine="540"/>
        <w:jc w:val="both"/>
      </w:pPr>
      <w:r>
        <w:rPr>
          <w:sz w:val="24"/>
        </w:rPr>
        <w:t xml:space="preserve">информации от иных главных распорядителей средств республиканского бюджета Чувашской Республики об отсутствии (о наличии) у участника отбора просроченной задолженности по возврату в республиканский бюджет Чувашской Республики иных субсидий, бюджетных инвестиций, а также иной просроченной (неурегулированной) задолженности по денежным обязательствам перед Чувашской Республикой;</w:t>
      </w:r>
    </w:p>
    <w:bookmarkStart w:id="96" w:name="P96"/>
    <w:bookmarkEnd w:id="96"/>
    <w:p>
      <w:pPr>
        <w:pStyle w:val="0"/>
        <w:spacing w:before="240" w:lineRule="auto"/>
        <w:ind w:firstLine="540"/>
        <w:jc w:val="both"/>
      </w:pPr>
      <w:r>
        <w:rPr>
          <w:sz w:val="24"/>
        </w:rPr>
        <w:t xml:space="preserve">информации от иных главных распорядителей средств республиканского бюджета Чувашской Республики о получении (неполучении) участником отбора средств из республиканского бюджета Чувашской Республики на основании иных нормативных правовых актов Чувашской Республики на цель, установленную в </w:t>
      </w:r>
      <w:hyperlink w:history="0" w:anchor="P51" w:tooltip="1.3. Субсидии предоставляются в рамках реализации комплекса процессных мероприятий &quot;Совершенствование потребительского рынка и системы защиты прав потребителей&quot; государственной программы Чувашской Республики &quot;Экономическое развитие Чувашской Республики&quot;, утвержденной постановлением Кабинета Министров Чувашской Республики от 5 декабря 2018 г. N 496, предусматривающего мероприятия по развитию инфраструктуры в сфере потребительского рынка.">
        <w:r>
          <w:rPr>
            <w:sz w:val="24"/>
            <w:color w:val="0000ff"/>
          </w:rPr>
          <w:t xml:space="preserve">пункте 1.3</w:t>
        </w:r>
      </w:hyperlink>
      <w:r>
        <w:rPr>
          <w:sz w:val="24"/>
        </w:rPr>
        <w:t xml:space="preserve"> настоящих Правил.</w:t>
      </w:r>
    </w:p>
    <w:p>
      <w:pPr>
        <w:pStyle w:val="0"/>
        <w:spacing w:before="240" w:lineRule="auto"/>
        <w:ind w:firstLine="540"/>
        <w:jc w:val="both"/>
      </w:pPr>
      <w:r>
        <w:rPr>
          <w:sz w:val="24"/>
        </w:rPr>
        <w:t xml:space="preserve">Межведомственный запрос, указанный в </w:t>
      </w:r>
      <w:hyperlink w:history="0" w:anchor="P94" w:tooltip="В целях проверки соответствия участника отбора требованиям, указанным в абзацах восьмом и девятом пункта 2.1 настоящих Правил, Минэкономразвития Чувашии в порядке, предусмотренном законодательством Российской Федерации и законодательством Чувашской Республики, в течение одного рабочего дня со дня окончания приема заявок, указанного в объявлении о проведении отбора, направляет межведомственный запрос о представлении по состоянию на даты рассмотрения заявки и заключения соглашения:">
        <w:r>
          <w:rPr>
            <w:sz w:val="24"/>
            <w:color w:val="0000ff"/>
          </w:rPr>
          <w:t xml:space="preserve">абзаце третьем</w:t>
        </w:r>
      </w:hyperlink>
      <w:r>
        <w:rPr>
          <w:sz w:val="24"/>
        </w:rPr>
        <w:t xml:space="preserve"> настоящего пункта, должен содержать:</w:t>
      </w:r>
    </w:p>
    <w:p>
      <w:pPr>
        <w:pStyle w:val="0"/>
        <w:spacing w:before="240" w:lineRule="auto"/>
        <w:ind w:firstLine="540"/>
        <w:jc w:val="both"/>
      </w:pPr>
      <w:r>
        <w:rPr>
          <w:sz w:val="24"/>
        </w:rPr>
        <w:t xml:space="preserve">цель предоставления субсидии в соответствии с </w:t>
      </w:r>
      <w:hyperlink w:history="0" w:anchor="P51" w:tooltip="1.3. Субсидии предоставляются в рамках реализации комплекса процессных мероприятий &quot;Совершенствование потребительского рынка и системы защиты прав потребителей&quot; государственной программы Чувашской Республики &quot;Экономическое развитие Чувашской Республики&quot;, утвержденной постановлением Кабинета Министров Чувашской Республики от 5 декабря 2018 г. N 496, предусматривающего мероприятия по развитию инфраструктуры в сфере потребительского рынка.">
        <w:r>
          <w:rPr>
            <w:sz w:val="24"/>
            <w:color w:val="0000ff"/>
          </w:rPr>
          <w:t xml:space="preserve">пунктом 1.3</w:t>
        </w:r>
      </w:hyperlink>
      <w:r>
        <w:rPr>
          <w:sz w:val="24"/>
        </w:rPr>
        <w:t xml:space="preserve"> настоящих Правил;</w:t>
      </w:r>
    </w:p>
    <w:p>
      <w:pPr>
        <w:pStyle w:val="0"/>
        <w:spacing w:before="240" w:lineRule="auto"/>
        <w:ind w:firstLine="540"/>
        <w:jc w:val="both"/>
      </w:pPr>
      <w:r>
        <w:rPr>
          <w:sz w:val="24"/>
        </w:rPr>
        <w:t xml:space="preserve">фамилию, имя, отчество (последнее - при наличии) индивидуального предпринимателя, наименование, ИНН участника отбора;</w:t>
      </w:r>
    </w:p>
    <w:p>
      <w:pPr>
        <w:pStyle w:val="0"/>
        <w:spacing w:before="240" w:lineRule="auto"/>
        <w:ind w:firstLine="540"/>
        <w:jc w:val="both"/>
      </w:pPr>
      <w:r>
        <w:rPr>
          <w:sz w:val="24"/>
        </w:rPr>
        <w:t xml:space="preserve">информацию о мобильном торговом объекте участника отбора (наименование, серийный номер, дата изготовления, дата приобретения).</w:t>
      </w:r>
    </w:p>
    <w:p>
      <w:pPr>
        <w:pStyle w:val="0"/>
        <w:spacing w:before="240" w:lineRule="auto"/>
        <w:ind w:firstLine="540"/>
        <w:jc w:val="both"/>
      </w:pPr>
      <w:r>
        <w:rPr>
          <w:sz w:val="24"/>
        </w:rPr>
        <w:t xml:space="preserve">Иные главные распорядители средств республиканского бюджета Чувашской Республики в случае предоставления участнику отбора субсидии на основании иных нормативных правовых актов Чувашской Республики на цель, установленную в </w:t>
      </w:r>
      <w:hyperlink w:history="0" w:anchor="P51" w:tooltip="1.3. Субсидии предоставляются в рамках реализации комплекса процессных мероприятий &quot;Совершенствование потребительского рынка и системы защиты прав потребителей&quot; государственной программы Чувашской Республики &quot;Экономическое развитие Чувашской Республики&quot;, утвержденной постановлением Кабинета Министров Чувашской Республики от 5 декабря 2018 г. N 496, предусматривающего мероприятия по развитию инфраструктуры в сфере потребительского рынка.">
        <w:r>
          <w:rPr>
            <w:sz w:val="24"/>
            <w:color w:val="0000ff"/>
          </w:rPr>
          <w:t xml:space="preserve">пункте 1.3</w:t>
        </w:r>
      </w:hyperlink>
      <w:r>
        <w:rPr>
          <w:sz w:val="24"/>
        </w:rPr>
        <w:t xml:space="preserve"> настоящих Правил, направляют в Минэкономразвития Чувашии информацию, указанную в </w:t>
      </w:r>
      <w:hyperlink w:history="0" w:anchor="P96" w:tooltip="информации от иных главных распорядителей средств республиканского бюджета Чувашской Республики о получении (неполучении) участником отбора средств из республиканского бюджета Чувашской Республики на основании иных нормативных правовых актов Чувашской Республики на цель, установленную в пункте 1.3 настоящих Правил.">
        <w:r>
          <w:rPr>
            <w:sz w:val="24"/>
            <w:color w:val="0000ff"/>
          </w:rPr>
          <w:t xml:space="preserve">абзаце пятом</w:t>
        </w:r>
      </w:hyperlink>
      <w:r>
        <w:rPr>
          <w:sz w:val="24"/>
        </w:rPr>
        <w:t xml:space="preserve"> настоящего пункта, с указанием перечня мобильных торговых объектов, на возмещение затрат по которым участнику отбора ранее была предоставлена субсидия.</w:t>
      </w:r>
    </w:p>
    <w:p>
      <w:pPr>
        <w:pStyle w:val="0"/>
        <w:spacing w:before="240" w:lineRule="auto"/>
        <w:ind w:firstLine="540"/>
        <w:jc w:val="both"/>
      </w:pPr>
      <w:r>
        <w:rPr>
          <w:sz w:val="24"/>
        </w:rPr>
        <w:t xml:space="preserve">В случае если участником отбора по собственной инициативе не представлена справка из налогового органа, Минэкономразвития Чувашии в порядке, предусмотренном законодательством Российской Федерации и законодательством Чувашской Республики, в течение одного рабочего дня со дня окончания приема заявок, указанного в объявлении о проведении отбора, направляет межведомственный запрос о представлении сведений из налогового органа о наличии (об отсутствии) у участника отбора на едином налоговом счете задолженности по уплате налогов, сборов и страховых взносов в бюджеты бюджетной системы Российской Федерации по состоянию на дату не позднее 15 рабочих дней после дня окончания приема заявок, указанного в объявлении о проведении отбора.</w:t>
      </w:r>
    </w:p>
    <w:bookmarkStart w:id="103" w:name="P103"/>
    <w:bookmarkEnd w:id="103"/>
    <w:p>
      <w:pPr>
        <w:pStyle w:val="0"/>
        <w:spacing w:before="240" w:lineRule="auto"/>
        <w:ind w:firstLine="540"/>
        <w:jc w:val="both"/>
      </w:pPr>
      <w:r>
        <w:rPr>
          <w:sz w:val="24"/>
        </w:rPr>
        <w:t xml:space="preserve">2.4. Заявка подается в соответствии с требованиями и в сроки, которые указаны в объявлении о проведении отбора согласно </w:t>
      </w:r>
      <w:hyperlink w:history="0" w:anchor="P171" w:tooltip="3.1. Объявление о проведении отбора формируется Минэкономразвития Чувашии в электронной форме посредством заполнения соответствующих экранных форм веб-интерфейса системы &quot;Электронный бюджет&quot;,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размещается на едином портале не позднее 10-го рабочего дня до наступления даты начала приема заявок участников отбора, а также при необходимости н...">
        <w:r>
          <w:rPr>
            <w:sz w:val="24"/>
            <w:color w:val="0000ff"/>
          </w:rPr>
          <w:t xml:space="preserve">пункту 3.1</w:t>
        </w:r>
      </w:hyperlink>
      <w:r>
        <w:rPr>
          <w:sz w:val="24"/>
        </w:rPr>
        <w:t xml:space="preserve"> настоящих Правил.</w:t>
      </w:r>
    </w:p>
    <w:p>
      <w:pPr>
        <w:pStyle w:val="0"/>
        <w:spacing w:before="240" w:lineRule="auto"/>
        <w:ind w:firstLine="540"/>
        <w:jc w:val="both"/>
      </w:pPr>
      <w:r>
        <w:rPr>
          <w:sz w:val="24"/>
        </w:rPr>
        <w:t xml:space="preserve">Заявки формируются участниками отбора в электронной форме в течение 10 календарных дней, следующих за днем размещения объявления о проведении отбора,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следующих документов (документов на бумажном носителе, преобразованных в электронную форму путем сканирования):</w:t>
      </w:r>
    </w:p>
    <w:bookmarkStart w:id="105" w:name="P105"/>
    <w:bookmarkEnd w:id="105"/>
    <w:p>
      <w:pPr>
        <w:pStyle w:val="0"/>
        <w:spacing w:before="240" w:lineRule="auto"/>
        <w:ind w:firstLine="540"/>
        <w:jc w:val="both"/>
      </w:pPr>
      <w:hyperlink w:history="0" w:anchor="P569" w:tooltip="ЗАЯВЛЕНИЕ">
        <w:r>
          <w:rPr>
            <w:sz w:val="24"/>
            <w:color w:val="0000ff"/>
          </w:rPr>
          <w:t xml:space="preserve">заявления</w:t>
        </w:r>
      </w:hyperlink>
      <w:r>
        <w:rPr>
          <w:sz w:val="24"/>
        </w:rPr>
        <w:t xml:space="preserve"> о предоставлении субсидии на возмещение части затрат на приобретение мобильных торговых объектов по форме согласно приложению N 2 к настоящим Правилам;</w:t>
      </w:r>
    </w:p>
    <w:p>
      <w:pPr>
        <w:pStyle w:val="0"/>
        <w:jc w:val="both"/>
      </w:pPr>
      <w:r>
        <w:rPr>
          <w:sz w:val="24"/>
        </w:rPr>
        <w:t xml:space="preserve">(в ред. </w:t>
      </w:r>
      <w:r>
        <w:rPr>
          <w:sz w:val="24"/>
        </w:rPr>
        <w:t xml:space="preserve">Постановления</w:t>
      </w:r>
      <w:r>
        <w:rPr>
          <w:sz w:val="24"/>
        </w:rPr>
        <w:t xml:space="preserve"> Кабинета Министров ЧР от 08.04.2026 N 198)</w:t>
      </w:r>
    </w:p>
    <w:p>
      <w:pPr>
        <w:pStyle w:val="0"/>
        <w:spacing w:before="240" w:lineRule="auto"/>
        <w:ind w:firstLine="540"/>
        <w:jc w:val="both"/>
      </w:pPr>
      <w:hyperlink w:history="0" w:anchor="P638" w:tooltip="СПРАВКА-РАСЧЕТ">
        <w:r>
          <w:rPr>
            <w:sz w:val="24"/>
            <w:color w:val="0000ff"/>
          </w:rPr>
          <w:t xml:space="preserve">справки-расчета</w:t>
        </w:r>
      </w:hyperlink>
      <w:r>
        <w:rPr>
          <w:sz w:val="24"/>
        </w:rPr>
        <w:t xml:space="preserve"> на получение из республиканского бюджета Чувашской Республики субсидии на возмещение части затрат на приобретение мобильных торговых объектов по форме согласно приложению N 3 к настоящим Правилам;</w:t>
      </w:r>
    </w:p>
    <w:p>
      <w:pPr>
        <w:pStyle w:val="0"/>
        <w:jc w:val="both"/>
      </w:pPr>
      <w:r>
        <w:rPr>
          <w:sz w:val="24"/>
        </w:rPr>
        <w:t xml:space="preserve">(в ред. </w:t>
      </w:r>
      <w:r>
        <w:rPr>
          <w:sz w:val="24"/>
        </w:rPr>
        <w:t xml:space="preserve">Постановления</w:t>
      </w:r>
      <w:r>
        <w:rPr>
          <w:sz w:val="24"/>
        </w:rPr>
        <w:t xml:space="preserve"> Кабинета Министров ЧР от 08.04.2026 N 198)</w:t>
      </w:r>
    </w:p>
    <w:p>
      <w:pPr>
        <w:pStyle w:val="0"/>
        <w:spacing w:before="240" w:lineRule="auto"/>
        <w:ind w:firstLine="540"/>
        <w:jc w:val="both"/>
      </w:pPr>
      <w:hyperlink w:history="0" w:anchor="P731" w:tooltip="СВЕДЕНИЯ">
        <w:r>
          <w:rPr>
            <w:sz w:val="24"/>
            <w:color w:val="0000ff"/>
          </w:rPr>
          <w:t xml:space="preserve">сведений</w:t>
        </w:r>
      </w:hyperlink>
      <w:r>
        <w:rPr>
          <w:sz w:val="24"/>
        </w:rPr>
        <w:t xml:space="preserve"> о среднесписочной численности и заработной плате работников за год, предшествующий году подачи заявки, по форме согласно приложению N 4 к настоящим Правилам;</w:t>
      </w:r>
    </w:p>
    <w:p>
      <w:pPr>
        <w:pStyle w:val="0"/>
        <w:spacing w:before="240" w:lineRule="auto"/>
        <w:ind w:firstLine="540"/>
        <w:jc w:val="both"/>
      </w:pPr>
      <w:r>
        <w:rPr>
          <w:sz w:val="24"/>
        </w:rPr>
        <w:t xml:space="preserve">договора купли-продажи (поставки) мобильного торгового объекта;</w:t>
      </w:r>
    </w:p>
    <w:p>
      <w:pPr>
        <w:pStyle w:val="0"/>
        <w:spacing w:before="240" w:lineRule="auto"/>
        <w:ind w:firstLine="540"/>
        <w:jc w:val="both"/>
      </w:pPr>
      <w:r>
        <w:rPr>
          <w:sz w:val="24"/>
        </w:rPr>
        <w:t xml:space="preserve">товарных накладных, счетов-фактур, универсальных передаточных документов, актов приема-передачи мобильного торгового объекта;</w:t>
      </w:r>
    </w:p>
    <w:p>
      <w:pPr>
        <w:pStyle w:val="0"/>
        <w:spacing w:before="240" w:lineRule="auto"/>
        <w:ind w:firstLine="540"/>
        <w:jc w:val="both"/>
      </w:pPr>
      <w:r>
        <w:rPr>
          <w:sz w:val="24"/>
        </w:rPr>
        <w:t xml:space="preserve">документов, подтверждающих полную оплату мобильного торгового объекта в соответствии с договором купли-продажи (поставки) мобильного торгового объекта;</w:t>
      </w:r>
    </w:p>
    <w:p>
      <w:pPr>
        <w:pStyle w:val="0"/>
        <w:spacing w:before="240" w:lineRule="auto"/>
        <w:ind w:firstLine="540"/>
        <w:jc w:val="both"/>
      </w:pPr>
      <w:r>
        <w:rPr>
          <w:sz w:val="24"/>
        </w:rPr>
        <w:t xml:space="preserve">паспорта транспортного средства или выписки из электронного паспорта транспортного средства;</w:t>
      </w:r>
    </w:p>
    <w:p>
      <w:pPr>
        <w:pStyle w:val="0"/>
        <w:spacing w:before="240" w:lineRule="auto"/>
        <w:ind w:firstLine="540"/>
        <w:jc w:val="both"/>
      </w:pPr>
      <w:r>
        <w:rPr>
          <w:sz w:val="24"/>
        </w:rPr>
        <w:t xml:space="preserve">свидетельства о регистрации транспортного средства;</w:t>
      </w:r>
    </w:p>
    <w:bookmarkStart w:id="115" w:name="P115"/>
    <w:bookmarkEnd w:id="115"/>
    <w:p>
      <w:pPr>
        <w:pStyle w:val="0"/>
        <w:spacing w:before="240" w:lineRule="auto"/>
        <w:ind w:firstLine="540"/>
        <w:jc w:val="both"/>
      </w:pPr>
      <w:r>
        <w:rPr>
          <w:sz w:val="24"/>
        </w:rPr>
        <w:t xml:space="preserve">инвентарных карточек учета объектов основных средств.</w:t>
      </w:r>
    </w:p>
    <w:p>
      <w:pPr>
        <w:pStyle w:val="0"/>
        <w:spacing w:before="240" w:lineRule="auto"/>
        <w:ind w:firstLine="540"/>
        <w:jc w:val="both"/>
      </w:pPr>
      <w:r>
        <w:rPr>
          <w:sz w:val="24"/>
        </w:rPr>
        <w:t xml:space="preserve">Участник отбора вправе по собственной инициативе представить документы, подтверждающие его соответствие требованиям, установленным </w:t>
      </w:r>
      <w:hyperlink w:history="0" w:anchor="P67" w:tooltip="2.1. Участник отбора на даты рассмотрения заявки и заключения соглашения должен соответствовать следующим требованиям:">
        <w:r>
          <w:rPr>
            <w:sz w:val="24"/>
            <w:color w:val="0000ff"/>
          </w:rPr>
          <w:t xml:space="preserve">пунктом 2.1</w:t>
        </w:r>
      </w:hyperlink>
      <w:r>
        <w:rPr>
          <w:sz w:val="24"/>
        </w:rPr>
        <w:t xml:space="preserve"> настоящих Правил, в том числе следующие документы:</w:t>
      </w:r>
    </w:p>
    <w:p>
      <w:pPr>
        <w:pStyle w:val="0"/>
        <w:spacing w:before="240" w:lineRule="auto"/>
        <w:ind w:firstLine="540"/>
        <w:jc w:val="both"/>
      </w:pPr>
      <w:r>
        <w:rPr>
          <w:sz w:val="24"/>
        </w:rPr>
        <w:t xml:space="preserve">индивидуальный предприниматель - выписку из Единого государственного реестра индивидуальных предпринимателей на даты рассмотрения заявки и заключения соглашения;</w:t>
      </w:r>
    </w:p>
    <w:p>
      <w:pPr>
        <w:pStyle w:val="0"/>
        <w:spacing w:before="240" w:lineRule="auto"/>
        <w:ind w:firstLine="540"/>
        <w:jc w:val="both"/>
      </w:pPr>
      <w:r>
        <w:rPr>
          <w:sz w:val="24"/>
        </w:rPr>
        <w:t xml:space="preserve">юридическое лицо - выписку из Единого государственного реестра юридических лиц на даты рассмотрения заявки и заключения соглашения;</w:t>
      </w:r>
    </w:p>
    <w:p>
      <w:pPr>
        <w:pStyle w:val="0"/>
        <w:spacing w:before="240" w:lineRule="auto"/>
        <w:ind w:firstLine="540"/>
        <w:jc w:val="both"/>
      </w:pPr>
      <w:r>
        <w:rPr>
          <w:sz w:val="24"/>
        </w:rPr>
        <w:t xml:space="preserve">справку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(форма по КНД 1160082) по состоянию на дату не ранее чем за 15 рабочих дней до дня подачи заявки.</w:t>
      </w:r>
    </w:p>
    <w:p>
      <w:pPr>
        <w:pStyle w:val="0"/>
        <w:spacing w:before="240" w:lineRule="auto"/>
        <w:ind w:firstLine="540"/>
        <w:jc w:val="both"/>
      </w:pPr>
      <w:r>
        <w:rPr>
          <w:sz w:val="24"/>
        </w:rPr>
        <w:t xml:space="preserve">Заявка подписывается усиленной квалифицированной электронной подписью руководителя участника отбора или уполномоченного им лица.</w:t>
      </w:r>
    </w:p>
    <w:p>
      <w:pPr>
        <w:pStyle w:val="0"/>
        <w:spacing w:before="240" w:lineRule="auto"/>
        <w:ind w:firstLine="540"/>
        <w:jc w:val="both"/>
      </w:pPr>
      <w:r>
        <w:rPr>
          <w:sz w:val="24"/>
        </w:rPr>
        <w:t xml:space="preserve">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в системе "Электронный бюджет".</w:t>
      </w:r>
    </w:p>
    <w:p>
      <w:pPr>
        <w:pStyle w:val="0"/>
        <w:spacing w:before="240" w:lineRule="auto"/>
        <w:ind w:firstLine="540"/>
        <w:jc w:val="both"/>
      </w:pPr>
      <w:r>
        <w:rPr>
          <w:sz w:val="24"/>
        </w:rPr>
        <w:t xml:space="preserve">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в соответствии с законодательством Российской Федерации.</w:t>
      </w:r>
    </w:p>
    <w:p>
      <w:pPr>
        <w:pStyle w:val="0"/>
        <w:spacing w:before="240" w:lineRule="auto"/>
        <w:ind w:firstLine="540"/>
        <w:jc w:val="both"/>
      </w:pPr>
      <w:r>
        <w:rPr>
          <w:sz w:val="24"/>
        </w:rPr>
        <w:t xml:space="preserve">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pPr>
        <w:pStyle w:val="0"/>
        <w:spacing w:before="240" w:lineRule="auto"/>
        <w:ind w:firstLine="540"/>
        <w:jc w:val="both"/>
      </w:pPr>
      <w:r>
        <w:rPr>
          <w:sz w:val="24"/>
        </w:rPr>
        <w:t xml:space="preserve">При несоответствии поданных в составе заявки сведений, содержащихся в экранных формах веб-интерфейса системы "Электронный бюджет", сведениям, содержащимся в прилагаемых к заявке документах, приоритет имеют сведения, содержащиеся в экранных формах веб-интерфейса системы "Электронный бюджет".</w:t>
      </w:r>
    </w:p>
    <w:p>
      <w:pPr>
        <w:pStyle w:val="0"/>
        <w:spacing w:before="240" w:lineRule="auto"/>
        <w:ind w:firstLine="540"/>
        <w:jc w:val="both"/>
      </w:pPr>
      <w:r>
        <w:rPr>
          <w:sz w:val="24"/>
        </w:rPr>
        <w:t xml:space="preserve">Заявка, в том числе прилагаемые к ней документы, составляются на русском языке.</w:t>
      </w:r>
    </w:p>
    <w:p>
      <w:pPr>
        <w:pStyle w:val="0"/>
        <w:spacing w:before="240" w:lineRule="auto"/>
        <w:ind w:firstLine="540"/>
        <w:jc w:val="both"/>
      </w:pPr>
      <w:r>
        <w:rPr>
          <w:sz w:val="24"/>
        </w:rPr>
        <w:t xml:space="preserve">Заявка содержит следующие сведения:</w:t>
      </w:r>
    </w:p>
    <w:p>
      <w:pPr>
        <w:pStyle w:val="0"/>
        <w:spacing w:before="240" w:lineRule="auto"/>
        <w:ind w:firstLine="540"/>
        <w:jc w:val="both"/>
      </w:pPr>
      <w:r>
        <w:rPr>
          <w:sz w:val="24"/>
        </w:rPr>
        <w:t xml:space="preserve">а) информацию и документы об участнике отбора:</w:t>
      </w:r>
    </w:p>
    <w:p>
      <w:pPr>
        <w:pStyle w:val="0"/>
        <w:spacing w:before="240" w:lineRule="auto"/>
        <w:ind w:firstLine="540"/>
        <w:jc w:val="both"/>
      </w:pPr>
      <w:r>
        <w:rPr>
          <w:sz w:val="24"/>
        </w:rPr>
        <w:t xml:space="preserve">полное и сокращенное (при наличии) наименование участника отбора (для юридических лиц);</w:t>
      </w:r>
    </w:p>
    <w:p>
      <w:pPr>
        <w:pStyle w:val="0"/>
        <w:spacing w:before="240" w:lineRule="auto"/>
        <w:ind w:firstLine="540"/>
        <w:jc w:val="both"/>
      </w:pPr>
      <w:r>
        <w:rPr>
          <w:sz w:val="24"/>
        </w:rPr>
        <w:t xml:space="preserve">фамилию, имя, отчество (последнее - при наличии) индивидуального предпринимателя;</w:t>
      </w:r>
    </w:p>
    <w:p>
      <w:pPr>
        <w:pStyle w:val="0"/>
        <w:spacing w:before="240" w:lineRule="auto"/>
        <w:ind w:firstLine="540"/>
        <w:jc w:val="both"/>
      </w:pPr>
      <w:r>
        <w:rPr>
          <w:sz w:val="24"/>
        </w:rPr>
        <w:t xml:space="preserve">основной государственный регистрационный номер участника отбора;</w:t>
      </w:r>
    </w:p>
    <w:p>
      <w:pPr>
        <w:pStyle w:val="0"/>
        <w:spacing w:before="240" w:lineRule="auto"/>
        <w:ind w:firstLine="540"/>
        <w:jc w:val="both"/>
      </w:pPr>
      <w:r>
        <w:rPr>
          <w:sz w:val="24"/>
        </w:rPr>
        <w:t xml:space="preserve">идентификационный номер налогоплательщика;</w:t>
      </w:r>
    </w:p>
    <w:p>
      <w:pPr>
        <w:pStyle w:val="0"/>
        <w:spacing w:before="240" w:lineRule="auto"/>
        <w:ind w:firstLine="540"/>
        <w:jc w:val="both"/>
      </w:pPr>
      <w:r>
        <w:rPr>
          <w:sz w:val="24"/>
        </w:rPr>
        <w:t xml:space="preserve">дату постановки на учет в налоговом органе (для индивидуальных предпринимателей);</w:t>
      </w:r>
    </w:p>
    <w:p>
      <w:pPr>
        <w:pStyle w:val="0"/>
        <w:spacing w:before="240" w:lineRule="auto"/>
        <w:ind w:firstLine="540"/>
        <w:jc w:val="both"/>
      </w:pPr>
      <w:r>
        <w:rPr>
          <w:sz w:val="24"/>
        </w:rPr>
        <w:t xml:space="preserve">дату и код причины постановки на учет в налоговом органе (для юридических лиц);</w:t>
      </w:r>
    </w:p>
    <w:p>
      <w:pPr>
        <w:pStyle w:val="0"/>
        <w:spacing w:before="240" w:lineRule="auto"/>
        <w:ind w:firstLine="540"/>
        <w:jc w:val="both"/>
      </w:pPr>
      <w:r>
        <w:rPr>
          <w:sz w:val="24"/>
        </w:rPr>
        <w:t xml:space="preserve">дату государственной регистрации физического лица в качестве индивидуального предпринимателя;</w:t>
      </w:r>
    </w:p>
    <w:p>
      <w:pPr>
        <w:pStyle w:val="0"/>
        <w:spacing w:before="240" w:lineRule="auto"/>
        <w:ind w:firstLine="540"/>
        <w:jc w:val="both"/>
      </w:pPr>
      <w:r>
        <w:rPr>
          <w:sz w:val="24"/>
        </w:rPr>
        <w:t xml:space="preserve">дату и место рождения (для индивидуальных предпринимателей);</w:t>
      </w:r>
    </w:p>
    <w:p>
      <w:pPr>
        <w:pStyle w:val="0"/>
        <w:spacing w:before="240" w:lineRule="auto"/>
        <w:ind w:firstLine="540"/>
        <w:jc w:val="both"/>
      </w:pPr>
      <w:r>
        <w:rPr>
          <w:sz w:val="24"/>
        </w:rPr>
        <w:t xml:space="preserve">страховой номер индивидуального лицевого счета (для индивидуальных предпринимателей);</w:t>
      </w:r>
    </w:p>
    <w:p>
      <w:pPr>
        <w:pStyle w:val="0"/>
        <w:spacing w:before="240" w:lineRule="auto"/>
        <w:ind w:firstLine="540"/>
        <w:jc w:val="both"/>
      </w:pPr>
      <w:r>
        <w:rPr>
          <w:sz w:val="24"/>
        </w:rPr>
        <w:t xml:space="preserve">адрес юридического лица, адрес регистрации (для индивидуальных предпринимателей);</w:t>
      </w:r>
    </w:p>
    <w:p>
      <w:pPr>
        <w:pStyle w:val="0"/>
        <w:spacing w:before="240" w:lineRule="auto"/>
        <w:ind w:firstLine="540"/>
        <w:jc w:val="both"/>
      </w:pPr>
      <w:r>
        <w:rPr>
          <w:sz w:val="24"/>
        </w:rPr>
        <w:t xml:space="preserve">номер контактного телефона, почтовый адрес и адрес электронной почты для направления юридически значимых сообщений;</w:t>
      </w:r>
    </w:p>
    <w:p>
      <w:pPr>
        <w:pStyle w:val="0"/>
        <w:spacing w:before="240" w:lineRule="auto"/>
        <w:ind w:firstLine="540"/>
        <w:jc w:val="both"/>
      </w:pPr>
      <w:r>
        <w:rPr>
          <w:sz w:val="24"/>
        </w:rPr>
        <w:t xml:space="preserve">фамилию, имя, отчество (последнее - при наличии) и идентификационный номер налогоплательщика главного бухгалтера (при наличии), фамилии, имена, отчества (последнее - при наличии) учредителей (за исключением сельскохозяйственных кооперативов, созданных в соответствии с Федеральным </w:t>
      </w:r>
      <w:r>
        <w:rPr>
          <w:sz w:val="24"/>
        </w:rPr>
        <w:t xml:space="preserve">законом</w:t>
      </w:r>
      <w:r>
        <w:rPr>
          <w:sz w:val="24"/>
        </w:rPr>
        <w:t xml:space="preserve"> "О сельскохозяйственной кооперации") или наименование юридического лица - учредителя участника отбора, членов коллегиального исполнительного органа, лица, исполняющего функции единоличного исполнительного органа (для юридических лиц);</w:t>
      </w:r>
    </w:p>
    <w:p>
      <w:pPr>
        <w:pStyle w:val="0"/>
        <w:spacing w:before="240" w:lineRule="auto"/>
        <w:ind w:firstLine="540"/>
        <w:jc w:val="both"/>
      </w:pPr>
      <w:r>
        <w:rPr>
          <w:sz w:val="24"/>
        </w:rPr>
        <w:t xml:space="preserve">информацию о руководителе юридического лица (фамилию, имя, отчество (последнее - при наличии), идентификационный номер налогоплательщика, должность);</w:t>
      </w:r>
    </w:p>
    <w:p>
      <w:pPr>
        <w:pStyle w:val="0"/>
        <w:spacing w:before="240" w:lineRule="auto"/>
        <w:ind w:firstLine="540"/>
        <w:jc w:val="both"/>
      </w:pPr>
      <w:r>
        <w:rPr>
          <w:sz w:val="24"/>
        </w:rPr>
        <w:t xml:space="preserve">перечень основных и дополнительных видов деятельности, которые участник отбора вправе осуществлять в соответствии с учредительными документами (для юридических лиц) или в соответствии со сведениями Единого государственного реестра индивидуальных предпринимателей (для индивидуальных предпринимателей);</w:t>
      </w:r>
    </w:p>
    <w:p>
      <w:pPr>
        <w:pStyle w:val="0"/>
        <w:spacing w:before="240" w:lineRule="auto"/>
        <w:ind w:firstLine="540"/>
        <w:jc w:val="both"/>
      </w:pPr>
      <w:r>
        <w:rPr>
          <w:sz w:val="24"/>
        </w:rPr>
        <w:t xml:space="preserve">б) подаваемое посредством заполнения соответствующих экранных форм веб-интерфейса системы "Электронный бюджет" подтверждение согласия на публикацию (размещение) в сети "Интернет" информации об участнике отбора, о подаваемой участником отбора заявке, а также иной информации об участнике отбора, связанной с соответствующим отбором и результатом предоставления субсидии;</w:t>
      </w:r>
    </w:p>
    <w:p>
      <w:pPr>
        <w:pStyle w:val="0"/>
        <w:spacing w:before="240" w:lineRule="auto"/>
        <w:ind w:firstLine="540"/>
        <w:jc w:val="both"/>
      </w:pPr>
      <w:r>
        <w:rPr>
          <w:sz w:val="24"/>
        </w:rPr>
        <w:t xml:space="preserve">в) запрашиваемый участником отбора размер субсидии.</w:t>
      </w:r>
    </w:p>
    <w:p>
      <w:pPr>
        <w:pStyle w:val="0"/>
        <w:spacing w:before="240" w:lineRule="auto"/>
        <w:ind w:firstLine="540"/>
        <w:jc w:val="both"/>
      </w:pPr>
      <w:r>
        <w:rPr>
          <w:sz w:val="24"/>
        </w:rPr>
        <w:t xml:space="preserve">В рамках одного отбора участник отбора вправе подать не более одной заявки, указав сумму субсидии не более максимального размера, определенного в соответствии с </w:t>
      </w:r>
      <w:hyperlink w:history="0" w:anchor="P159" w:tooltip="2.7. Максимальный размер субсидии в расчете на одного получателя субсидии, не признанного ответственным субъектом предпринимательской деятельности в Чувашской Республике в соответствии с Законом Чувашской Республики &quot;О развитии ответственного ведения бизнеса в Чувашской Республике&quot;, не может превышать 1,4 млн. рублей и составляет не более 30 процентов фактически произведенных и документально подтвержденных расходов получателя субсидии на покупку (приобретение) мобильного торгового объекта.">
        <w:r>
          <w:rPr>
            <w:sz w:val="24"/>
            <w:color w:val="0000ff"/>
          </w:rPr>
          <w:t xml:space="preserve">пунктом 2.7</w:t>
        </w:r>
      </w:hyperlink>
      <w:r>
        <w:rPr>
          <w:sz w:val="24"/>
        </w:rPr>
        <w:t xml:space="preserve"> настоящих Правил.</w:t>
      </w:r>
    </w:p>
    <w:p>
      <w:pPr>
        <w:pStyle w:val="0"/>
        <w:spacing w:before="240" w:lineRule="auto"/>
        <w:ind w:firstLine="540"/>
        <w:jc w:val="both"/>
      </w:pPr>
      <w:r>
        <w:rPr>
          <w:sz w:val="24"/>
        </w:rPr>
        <w:t xml:space="preserve">Внесение участником отбора изменений в заявку возможно до дня окончания срока приема заявок путем формирования участником отбора в электронной форме уведомления об отзыве заявки и последующего формирования новой заявки.</w:t>
      </w:r>
    </w:p>
    <w:p>
      <w:pPr>
        <w:pStyle w:val="0"/>
        <w:spacing w:before="240" w:lineRule="auto"/>
        <w:ind w:firstLine="540"/>
        <w:jc w:val="both"/>
      </w:pPr>
      <w:r>
        <w:rPr>
          <w:sz w:val="24"/>
        </w:rPr>
        <w:t xml:space="preserve">Участник отбора вправе отозвать заявку не позднее дня окончания приема заявок, указанного в объявлении о проведении отбора.</w:t>
      </w:r>
    </w:p>
    <w:p>
      <w:pPr>
        <w:pStyle w:val="0"/>
        <w:spacing w:before="240" w:lineRule="auto"/>
        <w:ind w:firstLine="540"/>
        <w:jc w:val="both"/>
      </w:pPr>
      <w:r>
        <w:rPr>
          <w:sz w:val="24"/>
        </w:rPr>
        <w:t xml:space="preserve">В случае отзыва заявки участник отбора вправе подать ее повторно не позднее дня окончания приема заявок, указанного в объявлении о проведении отбора, в порядке, аналогичном порядку формирования заявки участником отбора, указанному в настоящем пункте.</w:t>
      </w:r>
    </w:p>
    <w:bookmarkStart w:id="148" w:name="P148"/>
    <w:bookmarkEnd w:id="148"/>
    <w:p>
      <w:pPr>
        <w:pStyle w:val="0"/>
        <w:spacing w:before="240" w:lineRule="auto"/>
        <w:ind w:firstLine="540"/>
        <w:jc w:val="both"/>
      </w:pPr>
      <w:r>
        <w:rPr>
          <w:sz w:val="24"/>
        </w:rPr>
        <w:t xml:space="preserve">Любой участник отбора со дня размещения объявления о проведении отбора на едином портале не позднее чем за три рабочих дня до дня окончания приема заявок вправе направить в Минэкономразвития Чувашии не более пяти запросов о разъяснении положений объявления о проведении отбора путем формирования в системе "Электронный бюджет" соответствующего запроса.</w:t>
      </w:r>
    </w:p>
    <w:bookmarkStart w:id="149" w:name="P149"/>
    <w:bookmarkEnd w:id="149"/>
    <w:p>
      <w:pPr>
        <w:pStyle w:val="0"/>
        <w:spacing w:before="240" w:lineRule="auto"/>
        <w:ind w:firstLine="540"/>
        <w:jc w:val="both"/>
      </w:pPr>
      <w:r>
        <w:rPr>
          <w:sz w:val="24"/>
        </w:rPr>
        <w:t xml:space="preserve">Минэкономразвития Чувашии в ответ на запрос, указанный в </w:t>
      </w:r>
      <w:hyperlink w:history="0" w:anchor="P148" w:tooltip="Любой участник отбора со дня размещения объявления о проведении отбора на едином портале не позднее чем за три рабочих дня до дня окончания приема заявок вправе направить в Минэкономразвития Чувашии не более пяти запросов о разъяснении положений объявления о проведении отбора путем формирования в системе &quot;Электронный бюджет&quot; соответствующего запроса.">
        <w:r>
          <w:rPr>
            <w:sz w:val="24"/>
            <w:color w:val="0000ff"/>
          </w:rPr>
          <w:t xml:space="preserve">абзаце сорок четвертом</w:t>
        </w:r>
      </w:hyperlink>
      <w:r>
        <w:rPr>
          <w:sz w:val="24"/>
        </w:rPr>
        <w:t xml:space="preserve"> настоящего пункта, направляет разъяснение положений объявления о проведении отбора в срок, установленный в указанном объявлении, но не позднее одного рабочего дня до дня окончания приема заявок путем формирования в системе "Электронный бюджет" соответствующего разъяснения. Представленное Минэкономразвития Чувашии разъяснение положений объявления о проведении отбора не должно изменять суть информации, содержащейся в указанном объявлении.</w:t>
      </w:r>
    </w:p>
    <w:p>
      <w:pPr>
        <w:pStyle w:val="0"/>
        <w:spacing w:before="240" w:lineRule="auto"/>
        <w:ind w:firstLine="540"/>
        <w:jc w:val="both"/>
      </w:pPr>
      <w:r>
        <w:rPr>
          <w:sz w:val="24"/>
        </w:rPr>
        <w:t xml:space="preserve">Доступ к разъяснению, формируемому в системе "Электронный бюджет" в соответствии с </w:t>
      </w:r>
      <w:hyperlink w:history="0" w:anchor="P149" w:tooltip="Минэкономразвития Чувашии в ответ на запрос, указанный в абзаце сорок четвертом настоящего пункта, направляет разъяснение положений объявления о проведении отбора в срок, установленный в указанном объявлении, но не позднее одного рабочего дня до дня окончания приема заявок путем формирования в системе &quot;Электронный бюджет&quot; соответствующего разъяснения. Представленное Минэкономразвития Чувашии разъяснение положений объявления о проведении отбора не должно изменять суть информации, содержащейся в указанном ...">
        <w:r>
          <w:rPr>
            <w:sz w:val="24"/>
            <w:color w:val="0000ff"/>
          </w:rPr>
          <w:t xml:space="preserve">абзацем сорок пятым</w:t>
        </w:r>
      </w:hyperlink>
      <w:r>
        <w:rPr>
          <w:sz w:val="24"/>
        </w:rPr>
        <w:t xml:space="preserve"> настоящего пункта, предоставляется всем участникам отбора.</w:t>
      </w:r>
    </w:p>
    <w:p>
      <w:pPr>
        <w:pStyle w:val="0"/>
        <w:spacing w:before="240" w:lineRule="auto"/>
        <w:ind w:firstLine="540"/>
        <w:jc w:val="both"/>
      </w:pPr>
      <w:r>
        <w:rPr>
          <w:sz w:val="24"/>
        </w:rPr>
        <w:t xml:space="preserve">2.5. Субсидия предоставляется в пределах бюджетных ассигнований и лимитов бюджетных обязательств на цель, указанную в </w:t>
      </w:r>
      <w:hyperlink w:history="0" w:anchor="P51" w:tooltip="1.3. Субсидии предоставляются в рамках реализации комплекса процессных мероприятий &quot;Совершенствование потребительского рынка и системы защиты прав потребителей&quot; государственной программы Чувашской Республики &quot;Экономическое развитие Чувашской Республики&quot;, утвержденной постановлением Кабинета Министров Чувашской Республики от 5 декабря 2018 г. N 496, предусматривающего мероприятия по развитию инфраструктуры в сфере потребительского рынка.">
        <w:r>
          <w:rPr>
            <w:sz w:val="24"/>
            <w:color w:val="0000ff"/>
          </w:rPr>
          <w:t xml:space="preserve">пункте 1.3</w:t>
        </w:r>
      </w:hyperlink>
      <w:r>
        <w:rPr>
          <w:sz w:val="24"/>
        </w:rPr>
        <w:t xml:space="preserve"> настоящих Правил.</w:t>
      </w:r>
    </w:p>
    <w:bookmarkStart w:id="152" w:name="P152"/>
    <w:bookmarkEnd w:id="152"/>
    <w:p>
      <w:pPr>
        <w:pStyle w:val="0"/>
        <w:spacing w:before="240" w:lineRule="auto"/>
        <w:ind w:firstLine="540"/>
        <w:jc w:val="both"/>
      </w:pPr>
      <w:r>
        <w:rPr>
          <w:sz w:val="24"/>
        </w:rPr>
        <w:t xml:space="preserve">2.6. Размер предоставляемой субсидии рассчитывается по формуле</w:t>
      </w:r>
    </w:p>
    <w:p>
      <w:pPr>
        <w:pStyle w:val="0"/>
        <w:jc w:val="both"/>
      </w:pPr>
      <w:r>
        <w:rPr>
          <w:sz w:val="24"/>
        </w:rPr>
      </w:r>
    </w:p>
    <w:p>
      <w:pPr>
        <w:pStyle w:val="0"/>
        <w:ind w:firstLine="540"/>
        <w:jc w:val="both"/>
      </w:pPr>
      <w:r>
        <w:rPr>
          <w:sz w:val="24"/>
        </w:rPr>
        <w:t xml:space="preserve">R</w:t>
      </w:r>
      <w:r>
        <w:rPr>
          <w:sz w:val="24"/>
          <w:vertAlign w:val="subscript"/>
        </w:rPr>
        <w:t xml:space="preserve">субсидии</w:t>
      </w:r>
      <w:r>
        <w:rPr>
          <w:sz w:val="24"/>
        </w:rPr>
        <w:t xml:space="preserve"> = S</w:t>
      </w:r>
      <w:r>
        <w:rPr>
          <w:sz w:val="24"/>
          <w:vertAlign w:val="subscript"/>
        </w:rPr>
        <w:t xml:space="preserve">затрат</w:t>
      </w:r>
      <w:r>
        <w:rPr>
          <w:sz w:val="24"/>
        </w:rPr>
        <w:t xml:space="preserve"> x 30%,</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R</w:t>
      </w:r>
      <w:r>
        <w:rPr>
          <w:sz w:val="24"/>
          <w:vertAlign w:val="subscript"/>
        </w:rPr>
        <w:t xml:space="preserve">субсидии</w:t>
      </w:r>
      <w:r>
        <w:rPr>
          <w:sz w:val="24"/>
        </w:rPr>
        <w:t xml:space="preserve"> - размер субсидии;</w:t>
      </w:r>
    </w:p>
    <w:p>
      <w:pPr>
        <w:pStyle w:val="0"/>
        <w:spacing w:before="240" w:lineRule="auto"/>
        <w:ind w:firstLine="540"/>
        <w:jc w:val="both"/>
      </w:pPr>
      <w:r>
        <w:rPr>
          <w:sz w:val="24"/>
        </w:rPr>
        <w:t xml:space="preserve">S</w:t>
      </w:r>
      <w:r>
        <w:rPr>
          <w:sz w:val="24"/>
          <w:vertAlign w:val="subscript"/>
        </w:rPr>
        <w:t xml:space="preserve">затрат</w:t>
      </w:r>
      <w:r>
        <w:rPr>
          <w:sz w:val="24"/>
        </w:rPr>
        <w:t xml:space="preserve"> - произведенные затраты, связанные с приобретением мобильного торгового объекта.</w:t>
      </w:r>
    </w:p>
    <w:bookmarkStart w:id="159" w:name="P159"/>
    <w:bookmarkEnd w:id="159"/>
    <w:p>
      <w:pPr>
        <w:pStyle w:val="0"/>
        <w:spacing w:before="240" w:lineRule="auto"/>
        <w:ind w:firstLine="540"/>
        <w:jc w:val="both"/>
      </w:pPr>
      <w:r>
        <w:rPr>
          <w:sz w:val="24"/>
        </w:rPr>
        <w:t xml:space="preserve">2.7. Максимальный размер субсидии в расчете на одного получателя субсидии, не признанного ответственным субъектом предпринимательской деятельности в Чувашской Республике в соответствии с </w:t>
      </w:r>
      <w:r>
        <w:rPr>
          <w:sz w:val="24"/>
        </w:rPr>
        <w:t xml:space="preserve">Законом</w:t>
      </w:r>
      <w:r>
        <w:rPr>
          <w:sz w:val="24"/>
        </w:rPr>
        <w:t xml:space="preserve"> Чувашской Республики "О развитии ответственного ведения бизнеса в Чувашской Республике", не может превышать 1,4 млн. рублей и составляет не более 30 процентов фактически произведенных и документально подтвержденных расходов получателя субсидии на покупку (приобретение) мобильного торгового объекта.</w:t>
      </w:r>
    </w:p>
    <w:p>
      <w:pPr>
        <w:pStyle w:val="0"/>
        <w:spacing w:before="240" w:lineRule="auto"/>
        <w:ind w:firstLine="540"/>
        <w:jc w:val="both"/>
      </w:pPr>
      <w:r>
        <w:rPr>
          <w:sz w:val="24"/>
        </w:rPr>
        <w:t xml:space="preserve">Максимальный размер субсидии в расчете на одного получателя субсидии, признанного ответственным субъектом предпринимательской деятельности в Чувашской Республике в соответствии с </w:t>
      </w:r>
      <w:r>
        <w:rPr>
          <w:sz w:val="24"/>
        </w:rPr>
        <w:t xml:space="preserve">Законом</w:t>
      </w:r>
      <w:r>
        <w:rPr>
          <w:sz w:val="24"/>
        </w:rPr>
        <w:t xml:space="preserve"> Чувашской Республики "О развитии ответственного ведения бизнеса в Чувашской Республике", не может превышать 1,47 млн. рублей и составляет не более 30 процентов фактически произведенных и документально подтвержденных расходов получателя субсидии на покупку (приобретение) мобильного торгового объекта.</w:t>
      </w:r>
    </w:p>
    <w:p>
      <w:pPr>
        <w:pStyle w:val="0"/>
        <w:jc w:val="both"/>
      </w:pPr>
      <w:r>
        <w:rPr>
          <w:sz w:val="24"/>
        </w:rPr>
        <w:t xml:space="preserve">(п. 2.7 в ред. </w:t>
      </w:r>
      <w:r>
        <w:rPr>
          <w:sz w:val="24"/>
        </w:rPr>
        <w:t xml:space="preserve">Постановления</w:t>
      </w:r>
      <w:r>
        <w:rPr>
          <w:sz w:val="24"/>
        </w:rPr>
        <w:t xml:space="preserve"> Кабинета Министров ЧР от 08.04.2026 N 198)</w:t>
      </w:r>
    </w:p>
    <w:bookmarkStart w:id="162" w:name="P162"/>
    <w:bookmarkEnd w:id="162"/>
    <w:p>
      <w:pPr>
        <w:pStyle w:val="0"/>
        <w:spacing w:before="240" w:lineRule="auto"/>
        <w:ind w:firstLine="540"/>
        <w:jc w:val="both"/>
      </w:pPr>
      <w:r>
        <w:rPr>
          <w:sz w:val="24"/>
        </w:rPr>
        <w:t xml:space="preserve">2.8. Получатели субсидий определяются по результатам проведения отбора.</w:t>
      </w:r>
    </w:p>
    <w:p>
      <w:pPr>
        <w:pStyle w:val="0"/>
        <w:spacing w:before="240" w:lineRule="auto"/>
        <w:ind w:firstLine="540"/>
        <w:jc w:val="both"/>
      </w:pPr>
      <w:r>
        <w:rPr>
          <w:sz w:val="24"/>
        </w:rPr>
        <w:t xml:space="preserve">Отбор проводится способом запроса предложений исходя из соответствия участников отбора категориям получателей субсидий, критериям отбора и очередности поступления заявок.</w:t>
      </w:r>
    </w:p>
    <w:p>
      <w:pPr>
        <w:pStyle w:val="0"/>
        <w:spacing w:before="240" w:lineRule="auto"/>
        <w:ind w:firstLine="540"/>
        <w:jc w:val="both"/>
      </w:pPr>
      <w:r>
        <w:rPr>
          <w:sz w:val="24"/>
        </w:rPr>
        <w:t xml:space="preserve">Критериями отбора являются соблюдение участником отбора условий, установленных </w:t>
      </w:r>
      <w:hyperlink w:history="0" w:anchor="P77" w:tooltip="2.2. Субсидии предоставляются при соблюдении следующих условий:">
        <w:r>
          <w:rPr>
            <w:sz w:val="24"/>
            <w:color w:val="0000ff"/>
          </w:rPr>
          <w:t xml:space="preserve">пунктом 2.2</w:t>
        </w:r>
      </w:hyperlink>
      <w:r>
        <w:rPr>
          <w:sz w:val="24"/>
        </w:rPr>
        <w:t xml:space="preserve"> настоящих Правил, и соответствие участника отбора требованиям, установленным </w:t>
      </w:r>
      <w:hyperlink w:history="0" w:anchor="P67" w:tooltip="2.1. Участник отбора на даты рассмотрения заявки и заключения соглашения должен соответствовать следующим требованиям:">
        <w:r>
          <w:rPr>
            <w:sz w:val="24"/>
            <w:color w:val="0000ff"/>
          </w:rPr>
          <w:t xml:space="preserve">пунктом 2.1</w:t>
        </w:r>
      </w:hyperlink>
      <w:r>
        <w:rPr>
          <w:sz w:val="24"/>
        </w:rPr>
        <w:t xml:space="preserve"> настоящих Правил.</w:t>
      </w:r>
    </w:p>
    <w:p>
      <w:pPr>
        <w:pStyle w:val="0"/>
        <w:spacing w:before="240" w:lineRule="auto"/>
        <w:ind w:firstLine="540"/>
        <w:jc w:val="both"/>
      </w:pPr>
      <w:r>
        <w:rPr>
          <w:sz w:val="24"/>
        </w:rPr>
        <w:t xml:space="preserve">Отбор проводится не менее одного раза в год при наличии лимитов бюджетных обязательств.</w:t>
      </w:r>
    </w:p>
    <w:p>
      <w:pPr>
        <w:pStyle w:val="0"/>
        <w:spacing w:before="240" w:lineRule="auto"/>
        <w:ind w:firstLine="540"/>
        <w:jc w:val="both"/>
      </w:pPr>
      <w:r>
        <w:rPr>
          <w:sz w:val="24"/>
        </w:rPr>
        <w:t xml:space="preserve">Отбор осуществляется в системе "Электронный бюджет".</w:t>
      </w:r>
    </w:p>
    <w:p>
      <w:pPr>
        <w:pStyle w:val="0"/>
        <w:spacing w:before="240" w:lineRule="auto"/>
        <w:ind w:firstLine="540"/>
        <w:jc w:val="both"/>
      </w:pPr>
      <w:r>
        <w:rPr>
          <w:sz w:val="24"/>
        </w:rPr>
        <w:t xml:space="preserve">Обеспечение доступа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jc w:val="both"/>
      </w:pPr>
      <w:r>
        <w:rPr>
          <w:sz w:val="24"/>
        </w:rPr>
      </w:r>
    </w:p>
    <w:p>
      <w:pPr>
        <w:pStyle w:val="2"/>
        <w:outlineLvl w:val="1"/>
        <w:jc w:val="center"/>
      </w:pPr>
      <w:r>
        <w:rPr>
          <w:sz w:val="24"/>
        </w:rPr>
        <w:t xml:space="preserve">III. Организация отбора</w:t>
      </w:r>
    </w:p>
    <w:p>
      <w:pPr>
        <w:pStyle w:val="0"/>
        <w:jc w:val="both"/>
      </w:pPr>
      <w:r>
        <w:rPr>
          <w:sz w:val="24"/>
        </w:rPr>
      </w:r>
    </w:p>
    <w:bookmarkStart w:id="171" w:name="P171"/>
    <w:bookmarkEnd w:id="171"/>
    <w:p>
      <w:pPr>
        <w:pStyle w:val="0"/>
        <w:ind w:firstLine="540"/>
        <w:jc w:val="both"/>
      </w:pPr>
      <w:r>
        <w:rPr>
          <w:sz w:val="24"/>
        </w:rPr>
        <w:t xml:space="preserve">3.1. Объявление о проведении отбора формируется Минэкономразвития Чувашии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размещается на едином портале не позднее 10-го рабочего дня до наступления даты начала приема заявок участников отбора, а также при необходимости на официальном сайте Минэкономразвития Чувашии на Портале органов власти Чувашской Республики в сети "Интернет" (далее - официальный сайт Минэкономразвития Чувашии) и включает в себя следующую информацию:</w:t>
      </w:r>
    </w:p>
    <w:p>
      <w:pPr>
        <w:pStyle w:val="0"/>
        <w:spacing w:before="240" w:lineRule="auto"/>
        <w:ind w:firstLine="540"/>
        <w:jc w:val="both"/>
      </w:pPr>
      <w:r>
        <w:rPr>
          <w:sz w:val="24"/>
        </w:rPr>
        <w:t xml:space="preserve">способ проведения отбора в соответствии с </w:t>
      </w:r>
      <w:hyperlink w:history="0" w:anchor="P162" w:tooltip="2.8. Получатели субсидий определяются по результатам проведения отбора.">
        <w:r>
          <w:rPr>
            <w:sz w:val="24"/>
            <w:color w:val="0000ff"/>
          </w:rPr>
          <w:t xml:space="preserve">пунктом 2.8</w:t>
        </w:r>
      </w:hyperlink>
      <w:r>
        <w:rPr>
          <w:sz w:val="24"/>
        </w:rPr>
        <w:t xml:space="preserve"> настоящих Правил;</w:t>
      </w:r>
    </w:p>
    <w:p>
      <w:pPr>
        <w:pStyle w:val="0"/>
        <w:spacing w:before="240" w:lineRule="auto"/>
        <w:ind w:firstLine="540"/>
        <w:jc w:val="both"/>
      </w:pPr>
      <w:r>
        <w:rPr>
          <w:sz w:val="24"/>
        </w:rPr>
        <w:t xml:space="preserve">сроки проведения отбора;</w:t>
      </w:r>
    </w:p>
    <w:p>
      <w:pPr>
        <w:pStyle w:val="0"/>
        <w:spacing w:before="240" w:lineRule="auto"/>
        <w:ind w:firstLine="540"/>
        <w:jc w:val="both"/>
      </w:pPr>
      <w:r>
        <w:rPr>
          <w:sz w:val="24"/>
        </w:rPr>
        <w:t xml:space="preserve">дату и время начала приема заявок участников отбора;</w:t>
      </w:r>
    </w:p>
    <w:p>
      <w:pPr>
        <w:pStyle w:val="0"/>
        <w:spacing w:before="240" w:lineRule="auto"/>
        <w:ind w:firstLine="540"/>
        <w:jc w:val="both"/>
      </w:pPr>
      <w:r>
        <w:rPr>
          <w:sz w:val="24"/>
        </w:rPr>
        <w:t xml:space="preserve">дату и время окончания приема заявок участников отбора, при этом дата окончания приема заявок не может быть ранее 10-го календарного дня, следующего за днем размещения объявления о проведении отбора;</w:t>
      </w:r>
    </w:p>
    <w:p>
      <w:pPr>
        <w:pStyle w:val="0"/>
        <w:spacing w:before="240" w:lineRule="auto"/>
        <w:ind w:firstLine="540"/>
        <w:jc w:val="both"/>
      </w:pPr>
      <w:r>
        <w:rPr>
          <w:sz w:val="24"/>
        </w:rPr>
        <w:t xml:space="preserve">дату вскрытия заявок;</w:t>
      </w:r>
    </w:p>
    <w:p>
      <w:pPr>
        <w:pStyle w:val="0"/>
        <w:spacing w:before="240" w:lineRule="auto"/>
        <w:ind w:firstLine="540"/>
        <w:jc w:val="both"/>
      </w:pPr>
      <w:r>
        <w:rPr>
          <w:sz w:val="24"/>
        </w:rPr>
        <w:t xml:space="preserve">наименование, местонахождение, почтовый адрес, адрес электронной почты, контактный телефон Минэкономразвития Чувашии;</w:t>
      </w:r>
    </w:p>
    <w:p>
      <w:pPr>
        <w:pStyle w:val="0"/>
        <w:spacing w:before="240" w:lineRule="auto"/>
        <w:ind w:firstLine="540"/>
        <w:jc w:val="both"/>
      </w:pPr>
      <w:r>
        <w:rPr>
          <w:sz w:val="24"/>
        </w:rPr>
        <w:t xml:space="preserve">наименование субсидии, результат предоставления субсидии в соответствии с </w:t>
      </w:r>
      <w:hyperlink w:history="0" w:anchor="P301" w:tooltip="4.16. Результатом предоставления субсидии является количество выездов мобильных торговых объектов получателей субсидий в отдаленные малочисленные населенные пункты согласно графику, установленному соглашением.">
        <w:r>
          <w:rPr>
            <w:sz w:val="24"/>
            <w:color w:val="0000ff"/>
          </w:rPr>
          <w:t xml:space="preserve">пунктом 4.16</w:t>
        </w:r>
      </w:hyperlink>
      <w:r>
        <w:rPr>
          <w:sz w:val="24"/>
        </w:rPr>
        <w:t xml:space="preserve"> настоящих Правил, а также характеристики результата предоставления субсидии (дополнительные количественные параметры, которым должен соответствовать результат предоставления субсидии (далее - характеристика результата);</w:t>
      </w:r>
    </w:p>
    <w:p>
      <w:pPr>
        <w:pStyle w:val="0"/>
        <w:spacing w:before="240" w:lineRule="auto"/>
        <w:ind w:firstLine="540"/>
        <w:jc w:val="both"/>
      </w:pPr>
      <w:r>
        <w:rPr>
          <w:sz w:val="24"/>
        </w:rPr>
        <w:t xml:space="preserve">доменное имя и (или) указатели страниц государственной информационной системы в сети "Интернет";</w:t>
      </w:r>
    </w:p>
    <w:p>
      <w:pPr>
        <w:pStyle w:val="0"/>
        <w:spacing w:before="240" w:lineRule="auto"/>
        <w:ind w:firstLine="540"/>
        <w:jc w:val="both"/>
      </w:pPr>
      <w:r>
        <w:rPr>
          <w:sz w:val="24"/>
        </w:rPr>
        <w:t xml:space="preserve">требования к участникам отбора и перечень документов, представляемых участниками отбора для подтверждения их соответствия требованиям, установленным </w:t>
      </w:r>
      <w:hyperlink w:history="0" w:anchor="P67" w:tooltip="2.1. Участник отбора на даты рассмотрения заявки и заключения соглашения должен соответствовать следующим требованиям:">
        <w:r>
          <w:rPr>
            <w:sz w:val="24"/>
            <w:color w:val="0000ff"/>
          </w:rPr>
          <w:t xml:space="preserve">пунктом 2.1</w:t>
        </w:r>
      </w:hyperlink>
      <w:r>
        <w:rPr>
          <w:sz w:val="24"/>
        </w:rPr>
        <w:t xml:space="preserve"> настоящих Правил;</w:t>
      </w:r>
    </w:p>
    <w:p>
      <w:pPr>
        <w:pStyle w:val="0"/>
        <w:spacing w:before="240" w:lineRule="auto"/>
        <w:ind w:firstLine="540"/>
        <w:jc w:val="both"/>
      </w:pPr>
      <w:r>
        <w:rPr>
          <w:sz w:val="24"/>
        </w:rPr>
        <w:t xml:space="preserve">категории получателей субсидий и (или) критерии отбора;</w:t>
      </w:r>
    </w:p>
    <w:p>
      <w:pPr>
        <w:pStyle w:val="0"/>
        <w:spacing w:before="240" w:lineRule="auto"/>
        <w:ind w:firstLine="540"/>
        <w:jc w:val="both"/>
      </w:pPr>
      <w:r>
        <w:rPr>
          <w:sz w:val="24"/>
        </w:rPr>
        <w:t xml:space="preserve">порядок подачи участниками отбора заявок и требования, предъявляемые к форме и содержанию заявок;</w:t>
      </w:r>
    </w:p>
    <w:p>
      <w:pPr>
        <w:pStyle w:val="0"/>
        <w:spacing w:before="240" w:lineRule="auto"/>
        <w:ind w:firstLine="540"/>
        <w:jc w:val="both"/>
      </w:pPr>
      <w:r>
        <w:rPr>
          <w:sz w:val="24"/>
        </w:rPr>
        <w:t xml:space="preserve">порядок отзыва заявок, порядок их возврата, определяющий в том числе основания для возврата заявок, порядок внесения изменений в заявки;</w:t>
      </w:r>
    </w:p>
    <w:p>
      <w:pPr>
        <w:pStyle w:val="0"/>
        <w:spacing w:before="240" w:lineRule="auto"/>
        <w:ind w:firstLine="540"/>
        <w:jc w:val="both"/>
      </w:pPr>
      <w:r>
        <w:rPr>
          <w:sz w:val="24"/>
        </w:rPr>
        <w:t xml:space="preserve">порядок рассмотрения заявок в соответствии с </w:t>
      </w:r>
      <w:hyperlink w:history="0" w:anchor="P226" w:tooltip="4.1. В Минэкономразвития Чувашии создается рабочая группа по рассмотрению заявок (далее - рабочая группа), состав которой утверждается приказом Минэкономразвития Чувашии.">
        <w:r>
          <w:rPr>
            <w:sz w:val="24"/>
            <w:color w:val="0000ff"/>
          </w:rPr>
          <w:t xml:space="preserve">пунктом 4.1</w:t>
        </w:r>
      </w:hyperlink>
      <w:r>
        <w:rPr>
          <w:sz w:val="24"/>
        </w:rPr>
        <w:t xml:space="preserve"> настоящих Правил;</w:t>
      </w:r>
    </w:p>
    <w:p>
      <w:pPr>
        <w:pStyle w:val="0"/>
        <w:spacing w:before="240" w:lineRule="auto"/>
        <w:ind w:firstLine="540"/>
        <w:jc w:val="both"/>
      </w:pPr>
      <w:r>
        <w:rPr>
          <w:sz w:val="24"/>
        </w:rPr>
        <w:t xml:space="preserve">порядок возврата заявок на доработку;</w:t>
      </w:r>
    </w:p>
    <w:p>
      <w:pPr>
        <w:pStyle w:val="0"/>
        <w:spacing w:before="240" w:lineRule="auto"/>
        <w:ind w:firstLine="540"/>
        <w:jc w:val="both"/>
      </w:pPr>
      <w:r>
        <w:rPr>
          <w:sz w:val="24"/>
        </w:rPr>
        <w:t xml:space="preserve">порядок отклонения заявок, а также информацию об основаниях их отклонения;</w:t>
      </w:r>
    </w:p>
    <w:bookmarkStart w:id="187" w:name="P187"/>
    <w:bookmarkEnd w:id="187"/>
    <w:p>
      <w:pPr>
        <w:pStyle w:val="0"/>
        <w:spacing w:before="240" w:lineRule="auto"/>
        <w:ind w:firstLine="540"/>
        <w:jc w:val="both"/>
      </w:pPr>
      <w:r>
        <w:rPr>
          <w:sz w:val="24"/>
        </w:rPr>
        <w:t xml:space="preserve">объем распределяемой в рамках отбора субсидии, порядок расчета размера субсидии, установленный настоящими Правилами, правила распределения субсидии по результатам отбора, которые могут включать максимальный и минимальный размеры субсидии, предоставляемой победителю (победителям) отбора, а также предельное количество победителей отбора;</w:t>
      </w:r>
    </w:p>
    <w:p>
      <w:pPr>
        <w:pStyle w:val="0"/>
        <w:spacing w:before="240" w:lineRule="auto"/>
        <w:ind w:firstLine="540"/>
        <w:jc w:val="both"/>
      </w:pPr>
      <w:r>
        <w:rPr>
          <w:sz w:val="24"/>
        </w:rPr>
        <w:t xml:space="preserve">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pPr>
        <w:pStyle w:val="0"/>
        <w:spacing w:before="240" w:lineRule="auto"/>
        <w:ind w:firstLine="540"/>
        <w:jc w:val="both"/>
      </w:pPr>
      <w:r>
        <w:rPr>
          <w:sz w:val="24"/>
        </w:rPr>
        <w:t xml:space="preserve">срок, в течение которого победитель (победители) отбора должен подписать соглашение;</w:t>
      </w:r>
    </w:p>
    <w:p>
      <w:pPr>
        <w:pStyle w:val="0"/>
        <w:spacing w:before="240" w:lineRule="auto"/>
        <w:ind w:firstLine="540"/>
        <w:jc w:val="both"/>
      </w:pPr>
      <w:r>
        <w:rPr>
          <w:sz w:val="24"/>
        </w:rPr>
        <w:t xml:space="preserve">условия признания победителя (победителей) отбора уклонившимся от заключения соглашения;</w:t>
      </w:r>
    </w:p>
    <w:p>
      <w:pPr>
        <w:pStyle w:val="0"/>
        <w:spacing w:before="240" w:lineRule="auto"/>
        <w:ind w:firstLine="540"/>
        <w:jc w:val="both"/>
      </w:pPr>
      <w:r>
        <w:rPr>
          <w:sz w:val="24"/>
        </w:rPr>
        <w:t xml:space="preserve">срок размещения протокола подведения итогов отбора (документа об итогах проведения отбора) на едином портале, а также при необходимости на официальном сайте Минэкономразвития Чувашии, который не может быть позднее 14-го календарного дня, следующего за днем определения победителей отбора.</w:t>
      </w:r>
    </w:p>
    <w:p>
      <w:pPr>
        <w:pStyle w:val="0"/>
        <w:spacing w:before="240" w:lineRule="auto"/>
        <w:ind w:firstLine="540"/>
        <w:jc w:val="both"/>
      </w:pPr>
      <w:r>
        <w:rPr>
          <w:sz w:val="24"/>
        </w:rPr>
        <w:t xml:space="preserve">Прием заявок осуществляется Минэкономразвития Чувашии в течение 10 календарных дней, следующих за днем размещения объявления о проведении отбора.</w:t>
      </w:r>
    </w:p>
    <w:p>
      <w:pPr>
        <w:pStyle w:val="0"/>
        <w:spacing w:before="240" w:lineRule="auto"/>
        <w:ind w:firstLine="540"/>
        <w:jc w:val="both"/>
      </w:pPr>
      <w:r>
        <w:rPr>
          <w:sz w:val="24"/>
        </w:rPr>
        <w:t xml:space="preserve">Внесение изменений в объявление о проведении отбора осуществляется не позднее наступления даты окончания приема заявок участников отбора с соблюдением следующих условий:</w:t>
      </w:r>
    </w:p>
    <w:p>
      <w:pPr>
        <w:pStyle w:val="0"/>
        <w:spacing w:before="240" w:lineRule="auto"/>
        <w:ind w:firstLine="540"/>
        <w:jc w:val="both"/>
      </w:pPr>
      <w:r>
        <w:rPr>
          <w:sz w:val="24"/>
        </w:rPr>
        <w:t xml:space="preserve">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трех календарных дней;</w:t>
      </w:r>
    </w:p>
    <w:p>
      <w:pPr>
        <w:pStyle w:val="0"/>
        <w:spacing w:before="240" w:lineRule="auto"/>
        <w:ind w:firstLine="540"/>
        <w:jc w:val="both"/>
      </w:pPr>
      <w:r>
        <w:rPr>
          <w:sz w:val="24"/>
        </w:rPr>
        <w:t xml:space="preserve">при внесении изменений в объявление о проведении отбора изменение способа отбора не допускается;</w:t>
      </w:r>
    </w:p>
    <w:p>
      <w:pPr>
        <w:pStyle w:val="0"/>
        <w:spacing w:before="240" w:lineRule="auto"/>
        <w:ind w:firstLine="540"/>
        <w:jc w:val="both"/>
      </w:pPr>
      <w:r>
        <w:rPr>
          <w:sz w:val="24"/>
        </w:rPr>
        <w:t xml:space="preserve">в случае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 предусматривающее право участников отбора внести изменения в заявки;</w:t>
      </w:r>
    </w:p>
    <w:p>
      <w:pPr>
        <w:pStyle w:val="0"/>
        <w:spacing w:before="240" w:lineRule="auto"/>
        <w:ind w:firstLine="540"/>
        <w:jc w:val="both"/>
      </w:pPr>
      <w:r>
        <w:rPr>
          <w:sz w:val="24"/>
        </w:rPr>
        <w:t xml:space="preserve">участники отбора, подавшие заявку, уведомляются о внесении изменений в объявление о проведении отбора не позднее дня, следующего за днем внесения изменений в объявление о проведении отбора, с использованием системы "Электронный бюджет".</w:t>
      </w:r>
    </w:p>
    <w:p>
      <w:pPr>
        <w:pStyle w:val="0"/>
        <w:spacing w:before="240" w:lineRule="auto"/>
        <w:ind w:firstLine="540"/>
        <w:jc w:val="both"/>
      </w:pPr>
      <w:r>
        <w:rPr>
          <w:sz w:val="24"/>
        </w:rPr>
        <w:t xml:space="preserve">3.2. Минэкономразвития Чувашии отменяет отбор в случае:</w:t>
      </w:r>
    </w:p>
    <w:p>
      <w:pPr>
        <w:pStyle w:val="0"/>
        <w:spacing w:before="240" w:lineRule="auto"/>
        <w:ind w:firstLine="540"/>
        <w:jc w:val="both"/>
      </w:pPr>
      <w:r>
        <w:rPr>
          <w:sz w:val="24"/>
        </w:rPr>
        <w:t xml:space="preserve">изменения объема лимитов бюджетных обязательств на предоставление субсидий на соответствующий финансовый год;</w:t>
      </w:r>
    </w:p>
    <w:p>
      <w:pPr>
        <w:pStyle w:val="0"/>
        <w:spacing w:before="240" w:lineRule="auto"/>
        <w:ind w:firstLine="540"/>
        <w:jc w:val="both"/>
      </w:pPr>
      <w:r>
        <w:rPr>
          <w:sz w:val="24"/>
        </w:rPr>
        <w:t xml:space="preserve">внесения изменений в законодательство Российской Федерации, требующих внесения изменений в настоящие Правила.</w:t>
      </w:r>
    </w:p>
    <w:bookmarkStart w:id="201" w:name="P201"/>
    <w:bookmarkEnd w:id="201"/>
    <w:p>
      <w:pPr>
        <w:pStyle w:val="0"/>
        <w:spacing w:before="240" w:lineRule="auto"/>
        <w:ind w:firstLine="540"/>
        <w:jc w:val="both"/>
      </w:pPr>
      <w:r>
        <w:rPr>
          <w:sz w:val="24"/>
        </w:rPr>
        <w:t xml:space="preserve">Размещение Минэкономразвития Чувашии объявления об отмене проведения отбора на едином портале допускается не позднее чем за один рабочий день до даты окончания срока приема заявок, указанной в объявлении о проведении отбора.</w:t>
      </w:r>
    </w:p>
    <w:p>
      <w:pPr>
        <w:pStyle w:val="0"/>
        <w:spacing w:before="240" w:lineRule="auto"/>
        <w:ind w:firstLine="540"/>
        <w:jc w:val="both"/>
      </w:pPr>
      <w:r>
        <w:rPr>
          <w:sz w:val="24"/>
        </w:rPr>
        <w:t xml:space="preserve">Объявление об отмене проведения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размещается на едином портале и официальном сайте Минэкономразвития Чувашии и содержит информацию о причинах отмены проведения отбора.</w:t>
      </w:r>
    </w:p>
    <w:p>
      <w:pPr>
        <w:pStyle w:val="0"/>
        <w:spacing w:before="240" w:lineRule="auto"/>
        <w:ind w:firstLine="540"/>
        <w:jc w:val="both"/>
      </w:pPr>
      <w:r>
        <w:rPr>
          <w:sz w:val="24"/>
        </w:rPr>
        <w:t xml:space="preserve">Участники отбора, подавшие заявки, информируются об отмене проведения отбора в системе "Электронный бюджет".</w:t>
      </w:r>
    </w:p>
    <w:p>
      <w:pPr>
        <w:pStyle w:val="0"/>
        <w:spacing w:before="240" w:lineRule="auto"/>
        <w:ind w:firstLine="540"/>
        <w:jc w:val="both"/>
      </w:pPr>
      <w:r>
        <w:rPr>
          <w:sz w:val="24"/>
        </w:rPr>
        <w:t xml:space="preserve">Отбор считается отмененным со дня размещения объявления об отмене его проведения на едином портале.</w:t>
      </w:r>
    </w:p>
    <w:p>
      <w:pPr>
        <w:pStyle w:val="0"/>
        <w:spacing w:before="240" w:lineRule="auto"/>
        <w:ind w:firstLine="540"/>
        <w:jc w:val="both"/>
      </w:pPr>
      <w:r>
        <w:rPr>
          <w:sz w:val="24"/>
        </w:rPr>
        <w:t xml:space="preserve">После окончания срока отмены проведения отбора в соответствии с </w:t>
      </w:r>
      <w:hyperlink w:history="0" w:anchor="P201" w:tooltip="Размещение Минэкономразвития Чувашии объявления об отмене проведения отбора на едином портале допускается не позднее чем за один рабочий день до даты окончания срока приема заявок, указанной в объявлении о проведении отбора.">
        <w:r>
          <w:rPr>
            <w:sz w:val="24"/>
            <w:color w:val="0000ff"/>
          </w:rPr>
          <w:t xml:space="preserve">абзацем четвертым</w:t>
        </w:r>
      </w:hyperlink>
      <w:r>
        <w:rPr>
          <w:sz w:val="24"/>
        </w:rPr>
        <w:t xml:space="preserve"> настоящего пункта и до заключения соглашения с победителем (победителями) отбора Минэкономразвития Чувашии может отменить отбор в случаях отзыва лимитов бюджетных обязательств на предоставление субсидии на соответствующий финансовый год или возникновения обстоятельств непреодолимой силы в соответствии с </w:t>
      </w:r>
      <w:r>
        <w:rPr>
          <w:sz w:val="24"/>
        </w:rPr>
        <w:t xml:space="preserve">пунктом 3 статьи 401</w:t>
      </w:r>
      <w:r>
        <w:rPr>
          <w:sz w:val="24"/>
        </w:rPr>
        <w:t xml:space="preserve"> Гражданского кодекса Российской Федерации.</w:t>
      </w:r>
    </w:p>
    <w:p>
      <w:pPr>
        <w:pStyle w:val="0"/>
        <w:spacing w:before="240" w:lineRule="auto"/>
        <w:ind w:firstLine="540"/>
        <w:jc w:val="both"/>
      </w:pPr>
      <w:r>
        <w:rPr>
          <w:sz w:val="24"/>
        </w:rPr>
        <w:t xml:space="preserve">3.3. К участию в отборе допускаются следующие участники отбора, соответствующие требованиям, указанным в объявлении о проведении отбора:</w:t>
      </w:r>
    </w:p>
    <w:p>
      <w:pPr>
        <w:pStyle w:val="0"/>
        <w:spacing w:before="240" w:lineRule="auto"/>
        <w:ind w:firstLine="540"/>
        <w:jc w:val="both"/>
      </w:pPr>
      <w:r>
        <w:rPr>
          <w:sz w:val="24"/>
        </w:rPr>
        <w:t xml:space="preserve">организации потребительской кооперации, осуществляющие свою деятельность на территории Чувашской Республики в соответствии с </w:t>
      </w:r>
      <w:r>
        <w:rPr>
          <w:sz w:val="24"/>
        </w:rPr>
        <w:t xml:space="preserve">Законом</w:t>
      </w:r>
      <w:r>
        <w:rPr>
          <w:sz w:val="24"/>
        </w:rPr>
        <w:t xml:space="preserve"> Российской Федерации "О потребительской кооперации (потребительских обществах, их союзах) в Российской Федерации";</w:t>
      </w:r>
    </w:p>
    <w:p>
      <w:pPr>
        <w:pStyle w:val="0"/>
        <w:spacing w:before="240" w:lineRule="auto"/>
        <w:ind w:firstLine="540"/>
        <w:jc w:val="both"/>
      </w:pPr>
      <w:r>
        <w:rPr>
          <w:sz w:val="24"/>
        </w:rPr>
        <w:t xml:space="preserve">субъекты малого и среднего предпринимательства, включенные в единый реестр субъектов малого и среднего предпринимательства, отвечающие условиям отнесения к субъектам малого и среднего предпринимательства в соответствии с Федеральным </w:t>
      </w:r>
      <w:r>
        <w:rPr>
          <w:sz w:val="24"/>
        </w:rPr>
        <w:t xml:space="preserve">законом</w:t>
      </w:r>
      <w:r>
        <w:rPr>
          <w:sz w:val="24"/>
        </w:rPr>
        <w:t xml:space="preserve"> "О развитии малого и среднего предпринимательства в Российской Федерации".</w:t>
      </w:r>
    </w:p>
    <w:p>
      <w:pPr>
        <w:pStyle w:val="0"/>
        <w:jc w:val="both"/>
      </w:pPr>
      <w:r>
        <w:rPr>
          <w:sz w:val="24"/>
        </w:rPr>
        <w:t xml:space="preserve">(п. 3.3 в ред. </w:t>
      </w:r>
      <w:r>
        <w:rPr>
          <w:sz w:val="24"/>
        </w:rPr>
        <w:t xml:space="preserve">Постановления</w:t>
      </w:r>
      <w:r>
        <w:rPr>
          <w:sz w:val="24"/>
        </w:rPr>
        <w:t xml:space="preserve"> Кабинета Министров ЧР от 08.04.2026 N 198)</w:t>
      </w:r>
    </w:p>
    <w:bookmarkStart w:id="210" w:name="P210"/>
    <w:bookmarkEnd w:id="210"/>
    <w:p>
      <w:pPr>
        <w:pStyle w:val="0"/>
        <w:spacing w:before="240" w:lineRule="auto"/>
        <w:ind w:firstLine="540"/>
        <w:jc w:val="both"/>
      </w:pPr>
      <w:r>
        <w:rPr>
          <w:sz w:val="24"/>
        </w:rPr>
        <w:t xml:space="preserve">3.4. Не допускаются к участию в отборе участники отбора:</w:t>
      </w:r>
    </w:p>
    <w:p>
      <w:pPr>
        <w:pStyle w:val="0"/>
        <w:spacing w:before="240" w:lineRule="auto"/>
        <w:ind w:firstLine="540"/>
        <w:jc w:val="both"/>
      </w:pPr>
      <w:r>
        <w:rPr>
          <w:sz w:val="24"/>
        </w:rPr>
        <w:t xml:space="preserve">являющиеся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pPr>
        <w:pStyle w:val="0"/>
        <w:spacing w:before="240" w:lineRule="auto"/>
        <w:ind w:firstLine="540"/>
        <w:jc w:val="both"/>
      </w:pPr>
      <w:r>
        <w:rPr>
          <w:sz w:val="24"/>
        </w:rPr>
        <w:t xml:space="preserve">являющиеся участниками соглашений о разделе продукции;</w:t>
      </w:r>
    </w:p>
    <w:p>
      <w:pPr>
        <w:pStyle w:val="0"/>
        <w:spacing w:before="240" w:lineRule="auto"/>
        <w:ind w:firstLine="540"/>
        <w:jc w:val="both"/>
      </w:pPr>
      <w:r>
        <w:rPr>
          <w:sz w:val="24"/>
        </w:rPr>
        <w:t xml:space="preserve">осуществляющие предпринимательскую деятельность в сфере игорного бизнеса;</w:t>
      </w:r>
    </w:p>
    <w:p>
      <w:pPr>
        <w:pStyle w:val="0"/>
        <w:spacing w:before="240" w:lineRule="auto"/>
        <w:ind w:firstLine="540"/>
        <w:jc w:val="both"/>
      </w:pPr>
      <w:r>
        <w:rPr>
          <w:sz w:val="24"/>
        </w:rPr>
        <w:t xml:space="preserve">являющиеся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pPr>
        <w:pStyle w:val="0"/>
        <w:spacing w:before="240" w:lineRule="auto"/>
        <w:ind w:firstLine="540"/>
        <w:jc w:val="both"/>
      </w:pPr>
      <w:r>
        <w:rPr>
          <w:sz w:val="24"/>
        </w:rPr>
        <w:t xml:space="preserve">3.5. Не позднее одного рабочего дня, следующего за днем окончания приема заявок, установленного в объявлении о проведении отбора, в системе "Электронный бюджет" открывается доступ Минэкономразвития Чувашии к поданным участниками отбора заявкам для их рассмотрения.</w:t>
      </w:r>
    </w:p>
    <w:p>
      <w:pPr>
        <w:pStyle w:val="0"/>
        <w:spacing w:before="240" w:lineRule="auto"/>
        <w:ind w:firstLine="540"/>
        <w:jc w:val="both"/>
      </w:pPr>
      <w:r>
        <w:rPr>
          <w:sz w:val="24"/>
        </w:rPr>
        <w:t xml:space="preserve">Минэкономразвития Чувашии не позднее одного рабочего дня, следующего за днем окончания приема заявок, установленного в объявлении о проведении отбора, подписывает протокол вскрытия заявок, содержащий следующую информацию о поступивших для участия в отборе заявках:</w:t>
      </w:r>
    </w:p>
    <w:p>
      <w:pPr>
        <w:pStyle w:val="0"/>
        <w:spacing w:before="240" w:lineRule="auto"/>
        <w:ind w:firstLine="540"/>
        <w:jc w:val="both"/>
      </w:pPr>
      <w:r>
        <w:rPr>
          <w:sz w:val="24"/>
        </w:rPr>
        <w:t xml:space="preserve">регистрационный номер заявки;</w:t>
      </w:r>
    </w:p>
    <w:p>
      <w:pPr>
        <w:pStyle w:val="0"/>
        <w:spacing w:before="240" w:lineRule="auto"/>
        <w:ind w:firstLine="540"/>
        <w:jc w:val="both"/>
      </w:pPr>
      <w:r>
        <w:rPr>
          <w:sz w:val="24"/>
        </w:rPr>
        <w:t xml:space="preserve">дату и время поступления заявки;</w:t>
      </w:r>
    </w:p>
    <w:p>
      <w:pPr>
        <w:pStyle w:val="0"/>
        <w:spacing w:before="240" w:lineRule="auto"/>
        <w:ind w:firstLine="540"/>
        <w:jc w:val="both"/>
      </w:pPr>
      <w:r>
        <w:rPr>
          <w:sz w:val="24"/>
        </w:rPr>
        <w:t xml:space="preserve">полное наименование участника отбора (для юридических лиц) или фамилию, имя, отчество (последнее - при наличии) (для индивидуальных предпринимателей);</w:t>
      </w:r>
    </w:p>
    <w:p>
      <w:pPr>
        <w:pStyle w:val="0"/>
        <w:spacing w:before="240" w:lineRule="auto"/>
        <w:ind w:firstLine="540"/>
        <w:jc w:val="both"/>
      </w:pPr>
      <w:r>
        <w:rPr>
          <w:sz w:val="24"/>
        </w:rPr>
        <w:t xml:space="preserve">адрес юридического лица;</w:t>
      </w:r>
    </w:p>
    <w:p>
      <w:pPr>
        <w:pStyle w:val="0"/>
        <w:spacing w:before="240" w:lineRule="auto"/>
        <w:ind w:firstLine="540"/>
        <w:jc w:val="both"/>
      </w:pPr>
      <w:r>
        <w:rPr>
          <w:sz w:val="24"/>
        </w:rPr>
        <w:t xml:space="preserve">запрашиваемый участником отбора размер субсидии.</w:t>
      </w:r>
    </w:p>
    <w:p>
      <w:pPr>
        <w:pStyle w:val="0"/>
        <w:spacing w:before="240" w:lineRule="auto"/>
        <w:ind w:firstLine="540"/>
        <w:jc w:val="both"/>
      </w:pPr>
      <w:r>
        <w:rPr>
          <w:sz w:val="24"/>
        </w:rPr>
        <w:t xml:space="preserve">Протокол вскрытия заявок формируется на едином портале автоматически и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а также размещается на едином портале и официальном сайте Минэкономразвития Чувашии не позднее одного рабочего дня, следующего за днем его подписания.</w:t>
      </w:r>
    </w:p>
    <w:p>
      <w:pPr>
        <w:pStyle w:val="0"/>
        <w:jc w:val="both"/>
      </w:pPr>
      <w:r>
        <w:rPr>
          <w:sz w:val="24"/>
        </w:rPr>
      </w:r>
    </w:p>
    <w:p>
      <w:pPr>
        <w:pStyle w:val="2"/>
        <w:outlineLvl w:val="1"/>
        <w:jc w:val="center"/>
      </w:pPr>
      <w:r>
        <w:rPr>
          <w:sz w:val="24"/>
        </w:rPr>
        <w:t xml:space="preserve">IV. Проведение отбора</w:t>
      </w:r>
    </w:p>
    <w:p>
      <w:pPr>
        <w:pStyle w:val="0"/>
        <w:jc w:val="both"/>
      </w:pPr>
      <w:r>
        <w:rPr>
          <w:sz w:val="24"/>
        </w:rPr>
      </w:r>
    </w:p>
    <w:bookmarkStart w:id="226" w:name="P226"/>
    <w:bookmarkEnd w:id="226"/>
    <w:p>
      <w:pPr>
        <w:pStyle w:val="0"/>
        <w:ind w:firstLine="540"/>
        <w:jc w:val="both"/>
      </w:pPr>
      <w:r>
        <w:rPr>
          <w:sz w:val="24"/>
        </w:rPr>
        <w:t xml:space="preserve">4.1. В Минэкономразвития Чувашии создается рабочая группа по рассмотрению заявок (далее - рабочая группа), состав которой утверждается приказом Минэкономразвития Чувашии.</w:t>
      </w:r>
    </w:p>
    <w:p>
      <w:pPr>
        <w:pStyle w:val="0"/>
        <w:spacing w:before="240" w:lineRule="auto"/>
        <w:ind w:firstLine="540"/>
        <w:jc w:val="both"/>
      </w:pPr>
      <w:r>
        <w:rPr>
          <w:sz w:val="24"/>
        </w:rPr>
        <w:t xml:space="preserve">Рабочая группа в течение 25 рабочих дней со дня окончания приема заявок, указанного в объявлении о проведении отбора:</w:t>
      </w:r>
    </w:p>
    <w:p>
      <w:pPr>
        <w:pStyle w:val="0"/>
        <w:spacing w:before="240" w:lineRule="auto"/>
        <w:ind w:firstLine="540"/>
        <w:jc w:val="both"/>
      </w:pPr>
      <w:r>
        <w:rPr>
          <w:sz w:val="24"/>
        </w:rPr>
        <w:t xml:space="preserve">рассматривает заявки и прилагаемые к ним документы на предмет их соответствия установленным в объявлении о проведении отбора требованиям, категориям получателей субсидий и критериям отбора;</w:t>
      </w:r>
    </w:p>
    <w:p>
      <w:pPr>
        <w:pStyle w:val="0"/>
        <w:spacing w:before="240" w:lineRule="auto"/>
        <w:ind w:firstLine="540"/>
        <w:jc w:val="both"/>
      </w:pPr>
      <w:r>
        <w:rPr>
          <w:sz w:val="24"/>
        </w:rPr>
        <w:t xml:space="preserve">по итогам проверки заявок готовит заключение о результатах проведенной проверки, которое подписывается всеми членами рабочей группы;</w:t>
      </w:r>
    </w:p>
    <w:p>
      <w:pPr>
        <w:pStyle w:val="0"/>
        <w:spacing w:before="240" w:lineRule="auto"/>
        <w:ind w:firstLine="540"/>
        <w:jc w:val="both"/>
      </w:pPr>
      <w:r>
        <w:rPr>
          <w:sz w:val="24"/>
        </w:rPr>
        <w:t xml:space="preserve">принимает решение о признании заявки надлежащей или об отклонении заявки;</w:t>
      </w:r>
    </w:p>
    <w:p>
      <w:pPr>
        <w:pStyle w:val="0"/>
        <w:spacing w:before="240" w:lineRule="auto"/>
        <w:ind w:firstLine="540"/>
        <w:jc w:val="both"/>
      </w:pPr>
      <w:r>
        <w:rPr>
          <w:sz w:val="24"/>
        </w:rPr>
        <w:t xml:space="preserve">принимает решение о возврате заявки на доработку.</w:t>
      </w:r>
    </w:p>
    <w:p>
      <w:pPr>
        <w:pStyle w:val="0"/>
        <w:spacing w:before="240" w:lineRule="auto"/>
        <w:ind w:firstLine="540"/>
        <w:jc w:val="both"/>
      </w:pPr>
      <w:r>
        <w:rPr>
          <w:sz w:val="24"/>
        </w:rPr>
        <w:t xml:space="preserve">Внесение изменений в заявку возможно в случае возврата заявки рабочей группой на доработку. Рабочая группа возвращает заявку на доработку не позднее следующего рабочего дня после окончания проверки заявки в случае наличия оснований, указанных в </w:t>
      </w:r>
      <w:hyperlink w:history="0" w:anchor="P235" w:tooltip="непредставление или представление неполной информации в представленных в составе заявки документах;">
        <w:r>
          <w:rPr>
            <w:sz w:val="24"/>
            <w:color w:val="0000ff"/>
          </w:rPr>
          <w:t xml:space="preserve">абзацах десятом</w:t>
        </w:r>
      </w:hyperlink>
      <w:r>
        <w:rPr>
          <w:sz w:val="24"/>
        </w:rPr>
        <w:t xml:space="preserve"> и </w:t>
      </w:r>
      <w:hyperlink w:history="0" w:anchor="P236" w:tooltip="несоответствие друг другу сведений, указанных в представленных документах, наличие противоречий между сведениями, указанными в представленных в составе заявки документах.">
        <w:r>
          <w:rPr>
            <w:sz w:val="24"/>
            <w:color w:val="0000ff"/>
          </w:rPr>
          <w:t xml:space="preserve">одиннадцатом</w:t>
        </w:r>
      </w:hyperlink>
      <w:r>
        <w:rPr>
          <w:sz w:val="24"/>
        </w:rPr>
        <w:t xml:space="preserve"> настоящего пункта.</w:t>
      </w:r>
    </w:p>
    <w:p>
      <w:pPr>
        <w:pStyle w:val="0"/>
        <w:spacing w:before="240" w:lineRule="auto"/>
        <w:ind w:firstLine="540"/>
        <w:jc w:val="both"/>
      </w:pPr>
      <w:r>
        <w:rPr>
          <w:sz w:val="24"/>
        </w:rPr>
        <w:t xml:space="preserve">Участник отбора должен направить скорректированную заявку не позднее второго рабочего дня после дня возврата ее на доработку.</w:t>
      </w:r>
    </w:p>
    <w:p>
      <w:pPr>
        <w:pStyle w:val="0"/>
        <w:spacing w:before="240" w:lineRule="auto"/>
        <w:ind w:firstLine="540"/>
        <w:jc w:val="both"/>
      </w:pPr>
      <w:r>
        <w:rPr>
          <w:sz w:val="24"/>
        </w:rPr>
        <w:t xml:space="preserve">На стадии рассмотрения заявки основаниями для ее возврата на доработку являются:</w:t>
      </w:r>
    </w:p>
    <w:bookmarkStart w:id="235" w:name="P235"/>
    <w:bookmarkEnd w:id="235"/>
    <w:p>
      <w:pPr>
        <w:pStyle w:val="0"/>
        <w:spacing w:before="240" w:lineRule="auto"/>
        <w:ind w:firstLine="540"/>
        <w:jc w:val="both"/>
      </w:pPr>
      <w:r>
        <w:rPr>
          <w:sz w:val="24"/>
        </w:rPr>
        <w:t xml:space="preserve">непредставление или представление неполной информации в представленных в составе заявки документах;</w:t>
      </w:r>
    </w:p>
    <w:bookmarkStart w:id="236" w:name="P236"/>
    <w:bookmarkEnd w:id="236"/>
    <w:p>
      <w:pPr>
        <w:pStyle w:val="0"/>
        <w:spacing w:before="240" w:lineRule="auto"/>
        <w:ind w:firstLine="540"/>
        <w:jc w:val="both"/>
      </w:pPr>
      <w:r>
        <w:rPr>
          <w:sz w:val="24"/>
        </w:rPr>
        <w:t xml:space="preserve">несоответствие друг другу сведений, указанных в представленных документах, наличие противоречий между сведениями, указанными в представленных в составе заявки документах.</w:t>
      </w:r>
    </w:p>
    <w:p>
      <w:pPr>
        <w:pStyle w:val="0"/>
        <w:spacing w:before="240" w:lineRule="auto"/>
        <w:ind w:firstLine="540"/>
        <w:jc w:val="both"/>
      </w:pPr>
      <w:r>
        <w:rPr>
          <w:sz w:val="24"/>
        </w:rPr>
        <w:t xml:space="preserve">Рабочая группа в течение одного рабочего дня со дня, следующего за днем представления участником отбора скорректированной заявки, рассматривает ее и прилагаемые к ней документы на предмет их соответствия установленным в объявлении о проведении отбора требованиям и категориям получателей субсидий.</w:t>
      </w:r>
    </w:p>
    <w:p>
      <w:pPr>
        <w:pStyle w:val="0"/>
        <w:spacing w:before="240" w:lineRule="auto"/>
        <w:ind w:firstLine="540"/>
        <w:jc w:val="both"/>
      </w:pPr>
      <w:r>
        <w:rPr>
          <w:sz w:val="24"/>
        </w:rPr>
        <w:t xml:space="preserve">Заявка признается надлежащей, если она соответствует требованиям, указанным в объявлении о проведении отбора, и отсутствуют основания для отклонения заявки, предусмотренные </w:t>
      </w:r>
      <w:hyperlink w:history="0" w:anchor="P244" w:tooltip="4.2. Основаниями для отклонения заявки являются:">
        <w:r>
          <w:rPr>
            <w:sz w:val="24"/>
            <w:color w:val="0000ff"/>
          </w:rPr>
          <w:t xml:space="preserve">пунктом 4.2</w:t>
        </w:r>
      </w:hyperlink>
      <w:r>
        <w:rPr>
          <w:sz w:val="24"/>
        </w:rPr>
        <w:t xml:space="preserve"> настоящих Правил.</w:t>
      </w:r>
    </w:p>
    <w:p>
      <w:pPr>
        <w:pStyle w:val="0"/>
        <w:spacing w:before="240" w:lineRule="auto"/>
        <w:ind w:firstLine="540"/>
        <w:jc w:val="both"/>
      </w:pPr>
      <w:r>
        <w:rPr>
          <w:sz w:val="24"/>
        </w:rPr>
        <w:t xml:space="preserve">Решение о соответствии заявки и участника отбора требованиям, указанным в объявлении о проведении отбора, принимается рабочей группой единожды в день получения результатов проверки представленных участником отбора в составе заявки документов и информации по результатам:</w:t>
      </w:r>
    </w:p>
    <w:p>
      <w:pPr>
        <w:pStyle w:val="0"/>
        <w:spacing w:before="240" w:lineRule="auto"/>
        <w:ind w:firstLine="540"/>
        <w:jc w:val="both"/>
      </w:pPr>
      <w:r>
        <w:rPr>
          <w:sz w:val="24"/>
        </w:rPr>
        <w:t xml:space="preserve">автоматической проверки, осуществляемой в соответствии с </w:t>
      </w:r>
      <w:hyperlink w:history="0" w:anchor="P92" w:tooltip="2.3. Проверка участника отбора на соответствие требованиям, указанным в абзацах втором - седьмом пункта 2.1 настоящих Правил, осуществляется автоматически в системе &quot;Электронный бюджет&quot;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по состоянию на даты рассмотрения заявки и заключения соглашения.">
        <w:r>
          <w:rPr>
            <w:sz w:val="24"/>
            <w:color w:val="0000ff"/>
          </w:rPr>
          <w:t xml:space="preserve">пунктом 2.3</w:t>
        </w:r>
      </w:hyperlink>
      <w:r>
        <w:rPr>
          <w:sz w:val="24"/>
        </w:rPr>
        <w:t xml:space="preserve"> настоящих Правил;</w:t>
      </w:r>
    </w:p>
    <w:p>
      <w:pPr>
        <w:pStyle w:val="0"/>
        <w:spacing w:before="240" w:lineRule="auto"/>
        <w:ind w:firstLine="540"/>
        <w:jc w:val="both"/>
      </w:pPr>
      <w:r>
        <w:rPr>
          <w:sz w:val="24"/>
        </w:rPr>
        <w:t xml:space="preserve">проверки факта проставления участником отбора в электронном виде отметок о соответствии требованиям, указанным в </w:t>
      </w:r>
      <w:hyperlink w:history="0" w:anchor="P67" w:tooltip="2.1. Участник отбора на даты рассмотрения заявки и заключения соглашения должен соответствовать следующим требованиям:">
        <w:r>
          <w:rPr>
            <w:sz w:val="24"/>
            <w:color w:val="0000ff"/>
          </w:rPr>
          <w:t xml:space="preserve">пункте 2.1</w:t>
        </w:r>
      </w:hyperlink>
      <w:r>
        <w:rPr>
          <w:sz w:val="24"/>
        </w:rPr>
        <w:t xml:space="preserve"> настоящих Правил, посредством заполнения соответствующих экранных форм веб-интерфейса системы "Электронный бюджет" (в случае отсутствия технической возможности осуществления автоматической проверки в системе "Электронный бюджет").</w:t>
      </w:r>
    </w:p>
    <w:p>
      <w:pPr>
        <w:pStyle w:val="0"/>
        <w:spacing w:before="240" w:lineRule="auto"/>
        <w:ind w:firstLine="540"/>
        <w:jc w:val="both"/>
      </w:pPr>
      <w:r>
        <w:rPr>
          <w:sz w:val="24"/>
        </w:rPr>
        <w:t xml:space="preserve">Заявка отклоняется в случае наличия оснований для отклонения заявки, предусмотренных </w:t>
      </w:r>
      <w:hyperlink w:history="0" w:anchor="P244" w:tooltip="4.2. Основаниями для отклонения заявки являются:">
        <w:r>
          <w:rPr>
            <w:sz w:val="24"/>
            <w:color w:val="0000ff"/>
          </w:rPr>
          <w:t xml:space="preserve">пунктом 4.2</w:t>
        </w:r>
      </w:hyperlink>
      <w:r>
        <w:rPr>
          <w:sz w:val="24"/>
        </w:rPr>
        <w:t xml:space="preserve"> настоящих Правил.</w:t>
      </w:r>
    </w:p>
    <w:p>
      <w:pPr>
        <w:pStyle w:val="0"/>
        <w:spacing w:before="240" w:lineRule="auto"/>
        <w:ind w:firstLine="540"/>
        <w:jc w:val="both"/>
      </w:pPr>
      <w:r>
        <w:rPr>
          <w:sz w:val="24"/>
        </w:rPr>
        <w:t xml:space="preserve">Проверка участника отбора на соответствие требованиям, указанным в </w:t>
      </w:r>
      <w:hyperlink w:history="0" w:anchor="P68" w:tooltip="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фином Росс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
        <w:r>
          <w:rPr>
            <w:sz w:val="24"/>
            <w:color w:val="0000ff"/>
          </w:rPr>
          <w:t xml:space="preserve">абзацах втором</w:t>
        </w:r>
      </w:hyperlink>
      <w:r>
        <w:rPr>
          <w:sz w:val="24"/>
        </w:rPr>
        <w:t xml:space="preserve"> - </w:t>
      </w:r>
      <w:hyperlink w:history="0" w:anchor="P73" w:tooltip="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являющемся участником отбора;">
        <w:r>
          <w:rPr>
            <w:sz w:val="24"/>
            <w:color w:val="0000ff"/>
          </w:rPr>
          <w:t xml:space="preserve">седьмом пункта 2.1</w:t>
        </w:r>
      </w:hyperlink>
      <w:r>
        <w:rPr>
          <w:sz w:val="24"/>
        </w:rPr>
        <w:t xml:space="preserve"> настоящих Правил, по состоянию на дату рассмотрения заявки в случае отсутствия технической возможности осуществления автоматической проверки в системе "Электронный бюджет" осуществляется на основании сведений, полученных в рамках межведомственного информационного взаимодействия, а также из государственных информационных систем, открытых и общедоступных информационных ресурсов, являющихся официальными источниками соответствующей информации.</w:t>
      </w:r>
    </w:p>
    <w:bookmarkStart w:id="244" w:name="P244"/>
    <w:bookmarkEnd w:id="244"/>
    <w:p>
      <w:pPr>
        <w:pStyle w:val="0"/>
        <w:spacing w:before="240" w:lineRule="auto"/>
        <w:ind w:firstLine="540"/>
        <w:jc w:val="both"/>
      </w:pPr>
      <w:r>
        <w:rPr>
          <w:sz w:val="24"/>
        </w:rPr>
        <w:t xml:space="preserve">4.2. Основаниями для отклонения заявки являются:</w:t>
      </w:r>
    </w:p>
    <w:p>
      <w:pPr>
        <w:pStyle w:val="0"/>
        <w:spacing w:before="240" w:lineRule="auto"/>
        <w:ind w:firstLine="540"/>
        <w:jc w:val="both"/>
      </w:pPr>
      <w:r>
        <w:rPr>
          <w:sz w:val="24"/>
        </w:rPr>
        <w:t xml:space="preserve">несоблюдение участником отбора условий предоставления субсидии, установленных </w:t>
      </w:r>
      <w:hyperlink w:history="0" w:anchor="P77" w:tooltip="2.2. Субсидии предоставляются при соблюдении следующих условий:">
        <w:r>
          <w:rPr>
            <w:sz w:val="24"/>
            <w:color w:val="0000ff"/>
          </w:rPr>
          <w:t xml:space="preserve">пунктом 2.2</w:t>
        </w:r>
      </w:hyperlink>
      <w:r>
        <w:rPr>
          <w:sz w:val="24"/>
        </w:rPr>
        <w:t xml:space="preserve"> настоящих Правил;</w:t>
      </w:r>
    </w:p>
    <w:p>
      <w:pPr>
        <w:pStyle w:val="0"/>
        <w:spacing w:before="240" w:lineRule="auto"/>
        <w:ind w:firstLine="540"/>
        <w:jc w:val="both"/>
      </w:pPr>
      <w:r>
        <w:rPr>
          <w:sz w:val="24"/>
        </w:rPr>
        <w:t xml:space="preserve">несоответствие участника отбора требованиям, указанным в </w:t>
      </w:r>
      <w:hyperlink w:history="0" w:anchor="P67" w:tooltip="2.1. Участник отбора на даты рассмотрения заявки и заключения соглашения должен соответствовать следующим требованиям:">
        <w:r>
          <w:rPr>
            <w:sz w:val="24"/>
            <w:color w:val="0000ff"/>
          </w:rPr>
          <w:t xml:space="preserve">пунктах 2.1</w:t>
        </w:r>
      </w:hyperlink>
      <w:r>
        <w:rPr>
          <w:sz w:val="24"/>
        </w:rPr>
        <w:t xml:space="preserve"> и </w:t>
      </w:r>
      <w:hyperlink w:history="0" w:anchor="P210" w:tooltip="3.4. Не допускаются к участию в отборе участники отбора:">
        <w:r>
          <w:rPr>
            <w:sz w:val="24"/>
            <w:color w:val="0000ff"/>
          </w:rPr>
          <w:t xml:space="preserve">3.4</w:t>
        </w:r>
      </w:hyperlink>
      <w:r>
        <w:rPr>
          <w:sz w:val="24"/>
        </w:rPr>
        <w:t xml:space="preserve"> настоящих Правил;</w:t>
      </w:r>
    </w:p>
    <w:p>
      <w:pPr>
        <w:pStyle w:val="0"/>
        <w:spacing w:before="240" w:lineRule="auto"/>
        <w:ind w:firstLine="540"/>
        <w:jc w:val="both"/>
      </w:pPr>
      <w:r>
        <w:rPr>
          <w:sz w:val="24"/>
        </w:rPr>
        <w:t xml:space="preserve">непредставление (представление не в полном объеме) документов, предусмотренных </w:t>
      </w:r>
      <w:hyperlink w:history="0" w:anchor="P105" w:tooltip="заявления о предоставлении субсидии на возмещение части затрат на приобретение мобильных торговых объектов по форме согласно приложению N 2 к настоящим Правилам;">
        <w:r>
          <w:rPr>
            <w:sz w:val="24"/>
            <w:color w:val="0000ff"/>
          </w:rPr>
          <w:t xml:space="preserve">абзацами третьим</w:t>
        </w:r>
      </w:hyperlink>
      <w:r>
        <w:rPr>
          <w:sz w:val="24"/>
        </w:rPr>
        <w:t xml:space="preserve"> - </w:t>
      </w:r>
      <w:hyperlink w:history="0" w:anchor="P115" w:tooltip="инвентарных карточек учета объектов основных средств.">
        <w:r>
          <w:rPr>
            <w:sz w:val="24"/>
            <w:color w:val="0000ff"/>
          </w:rPr>
          <w:t xml:space="preserve">одиннадцатым пункта 2.4</w:t>
        </w:r>
      </w:hyperlink>
      <w:r>
        <w:rPr>
          <w:sz w:val="24"/>
        </w:rPr>
        <w:t xml:space="preserve"> настоящих Правил;</w:t>
      </w:r>
    </w:p>
    <w:p>
      <w:pPr>
        <w:pStyle w:val="0"/>
        <w:spacing w:before="240" w:lineRule="auto"/>
        <w:ind w:firstLine="540"/>
        <w:jc w:val="both"/>
      </w:pPr>
      <w:r>
        <w:rPr>
          <w:sz w:val="24"/>
        </w:rPr>
        <w:t xml:space="preserve">несоответствие представленных участником отбора документов и (или) заявки требованиям, предусмотренным настоящими Правилами;</w:t>
      </w:r>
    </w:p>
    <w:p>
      <w:pPr>
        <w:pStyle w:val="0"/>
        <w:spacing w:before="240" w:lineRule="auto"/>
        <w:ind w:firstLine="540"/>
        <w:jc w:val="both"/>
      </w:pPr>
      <w:r>
        <w:rPr>
          <w:sz w:val="24"/>
        </w:rPr>
        <w:t xml:space="preserve">недостоверность информации, содержащейся в документах, представленных в составе заявки;</w:t>
      </w:r>
    </w:p>
    <w:p>
      <w:pPr>
        <w:pStyle w:val="0"/>
        <w:spacing w:before="240" w:lineRule="auto"/>
        <w:ind w:firstLine="540"/>
        <w:jc w:val="both"/>
      </w:pPr>
      <w:r>
        <w:rPr>
          <w:sz w:val="24"/>
        </w:rPr>
        <w:t xml:space="preserve">подача участником отбора заявки после даты и (или) времени окончания приема заявок, указанных в объявлении о проведении отбора.</w:t>
      </w:r>
    </w:p>
    <w:bookmarkStart w:id="251" w:name="P251"/>
    <w:bookmarkEnd w:id="251"/>
    <w:p>
      <w:pPr>
        <w:pStyle w:val="0"/>
        <w:spacing w:before="240" w:lineRule="auto"/>
        <w:ind w:firstLine="540"/>
        <w:jc w:val="both"/>
      </w:pPr>
      <w:r>
        <w:rPr>
          <w:sz w:val="24"/>
        </w:rPr>
        <w:t xml:space="preserve">4.3. В случае если в целях полного, всестороннего и объективного рассмотрения заявки необходимо получение от участника отбора документов и информации для разъяснения представленных им документов и информации, Минэкономразвития Чувашии в течение одного рабочего дня после дня рассмотрения заявки осуществляет соответствующий запрос с использованием системы "Электронный бюджет", направляемый при необходимости всем участникам отбора.</w:t>
      </w:r>
    </w:p>
    <w:bookmarkStart w:id="252" w:name="P252"/>
    <w:bookmarkEnd w:id="252"/>
    <w:p>
      <w:pPr>
        <w:pStyle w:val="0"/>
        <w:spacing w:before="240" w:lineRule="auto"/>
        <w:ind w:firstLine="540"/>
        <w:jc w:val="both"/>
      </w:pPr>
      <w:r>
        <w:rPr>
          <w:sz w:val="24"/>
        </w:rPr>
        <w:t xml:space="preserve">В запросе, указанном в </w:t>
      </w:r>
      <w:hyperlink w:history="0" w:anchor="P251" w:tooltip="4.3. В случае если в целях полного, всестороннего и объективного рассмотрения заявки необходимо получение от участника отбора документов и информации для разъяснения представленных им документов и информации, Минэкономразвития Чувашии в течение одного рабочего дня после дня рассмотрения заявки осуществляет соответствующий запрос с использованием системы &quot;Электронный бюджет&quot;, направляемый при необходимости всем участникам отбора.">
        <w:r>
          <w:rPr>
            <w:sz w:val="24"/>
            <w:color w:val="0000ff"/>
          </w:rPr>
          <w:t xml:space="preserve">абзаце первом</w:t>
        </w:r>
      </w:hyperlink>
      <w:r>
        <w:rPr>
          <w:sz w:val="24"/>
        </w:rPr>
        <w:t xml:space="preserve"> настоящего пункта, Минэкономразвития Чувашии устанавливает срок представления участником отбора разъяснения в отношении документов и информации, который должен составлять не менее двух рабочих дней со дня, следующего за днем размещения соответствующего запроса.</w:t>
      </w:r>
    </w:p>
    <w:p>
      <w:pPr>
        <w:pStyle w:val="0"/>
        <w:spacing w:before="240" w:lineRule="auto"/>
        <w:ind w:firstLine="540"/>
        <w:jc w:val="both"/>
      </w:pPr>
      <w:r>
        <w:rPr>
          <w:sz w:val="24"/>
        </w:rPr>
        <w:t xml:space="preserve">Участник отбора формирует и представляет в систему "Электронный бюджет" документы и информацию, запрашиваемые в соответствии с </w:t>
      </w:r>
      <w:hyperlink w:history="0" w:anchor="P251" w:tooltip="4.3. В случае если в целях полного, всестороннего и объективного рассмотрения заявки необходимо получение от участника отбора документов и информации для разъяснения представленных им документов и информации, Минэкономразвития Чувашии в течение одного рабочего дня после дня рассмотрения заявки осуществляет соответствующий запрос с использованием системы &quot;Электронный бюджет&quot;, направляемый при необходимости всем участникам отбора.">
        <w:r>
          <w:rPr>
            <w:sz w:val="24"/>
            <w:color w:val="0000ff"/>
          </w:rPr>
          <w:t xml:space="preserve">абзацем первым</w:t>
        </w:r>
      </w:hyperlink>
      <w:r>
        <w:rPr>
          <w:sz w:val="24"/>
        </w:rPr>
        <w:t xml:space="preserve"> настоящего пункта, в срок, установленный соответствующим запросом с учетом положений </w:t>
      </w:r>
      <w:hyperlink w:history="0" w:anchor="P252" w:tooltip="В запросе, указанном в абзаце первом настоящего пункта, Минэкономразвития Чувашии устанавливает срок представления участником отбора разъяснения в отношении документов и информации, который должен составлять не менее двух рабочих дней со дня, следующего за днем размещения соответствующего запроса.">
        <w:r>
          <w:rPr>
            <w:sz w:val="24"/>
            <w:color w:val="0000ff"/>
          </w:rPr>
          <w:t xml:space="preserve">абзаца второго</w:t>
        </w:r>
      </w:hyperlink>
      <w:r>
        <w:rPr>
          <w:sz w:val="24"/>
        </w:rPr>
        <w:t xml:space="preserve"> настоящего пункта.</w:t>
      </w:r>
    </w:p>
    <w:p>
      <w:pPr>
        <w:pStyle w:val="0"/>
        <w:spacing w:before="240" w:lineRule="auto"/>
        <w:ind w:firstLine="540"/>
        <w:jc w:val="both"/>
      </w:pPr>
      <w:r>
        <w:rPr>
          <w:sz w:val="24"/>
        </w:rPr>
        <w:t xml:space="preserve">В случае если участник отбора в ответ на запрос, указанный в </w:t>
      </w:r>
      <w:hyperlink w:history="0" w:anchor="P251" w:tooltip="4.3. В случае если в целях полного, всестороннего и объективного рассмотрения заявки необходимо получение от участника отбора документов и информации для разъяснения представленных им документов и информации, Минэкономразвития Чувашии в течение одного рабочего дня после дня рассмотрения заявки осуществляет соответствующий запрос с использованием системы &quot;Электронный бюджет&quot;, направляемый при необходимости всем участникам отбора.">
        <w:r>
          <w:rPr>
            <w:sz w:val="24"/>
            <w:color w:val="0000ff"/>
          </w:rPr>
          <w:t xml:space="preserve">абзаце первом</w:t>
        </w:r>
      </w:hyperlink>
      <w:r>
        <w:rPr>
          <w:sz w:val="24"/>
        </w:rPr>
        <w:t xml:space="preserve"> настоящего пункта, не представил запрашиваемые документы и информацию в срок, установленный соответствующим запросом с учетом положений </w:t>
      </w:r>
      <w:hyperlink w:history="0" w:anchor="P252" w:tooltip="В запросе, указанном в абзаце первом настоящего пункта, Минэкономразвития Чувашии устанавливает срок представления участником отбора разъяснения в отношении документов и информации, который должен составлять не менее двух рабочих дней со дня, следующего за днем размещения соответствующего запроса.">
        <w:r>
          <w:rPr>
            <w:sz w:val="24"/>
            <w:color w:val="0000ff"/>
          </w:rPr>
          <w:t xml:space="preserve">абзаца второго</w:t>
        </w:r>
      </w:hyperlink>
      <w:r>
        <w:rPr>
          <w:sz w:val="24"/>
        </w:rPr>
        <w:t xml:space="preserve"> настоящего пункта, информация об этом включается в протокол подведения итогов отбора, предусмотренный </w:t>
      </w:r>
      <w:hyperlink w:history="0" w:anchor="P264" w:tooltip="Не позднее одного рабочего дня, следующего за днем окончания срока рассмотрения заявок, формируется протокол подведения итогов отбора, включающий информацию о победителях отбора с указанием размера субсидии, предусмотренной им для предоставления, об отклонении заявок с указанием оснований для их отклонения, об отказе в предоставлении субсидии с указанием оснований для отказа.">
        <w:r>
          <w:rPr>
            <w:sz w:val="24"/>
            <w:color w:val="0000ff"/>
          </w:rPr>
          <w:t xml:space="preserve">абзацем четвертым пункта 4.5</w:t>
        </w:r>
      </w:hyperlink>
      <w:r>
        <w:rPr>
          <w:sz w:val="24"/>
        </w:rPr>
        <w:t xml:space="preserve"> настоящих Правил.</w:t>
      </w:r>
    </w:p>
    <w:p>
      <w:pPr>
        <w:pStyle w:val="0"/>
        <w:spacing w:before="240" w:lineRule="auto"/>
        <w:ind w:firstLine="540"/>
        <w:jc w:val="both"/>
      </w:pPr>
      <w:r>
        <w:rPr>
          <w:sz w:val="24"/>
        </w:rPr>
        <w:t xml:space="preserve">4.4. Отбор признается несостоявшимся в следующих случаях:</w:t>
      </w:r>
    </w:p>
    <w:p>
      <w:pPr>
        <w:pStyle w:val="0"/>
        <w:spacing w:before="240" w:lineRule="auto"/>
        <w:ind w:firstLine="540"/>
        <w:jc w:val="both"/>
      </w:pPr>
      <w:r>
        <w:rPr>
          <w:sz w:val="24"/>
        </w:rPr>
        <w:t xml:space="preserve">по окончании срока приема заявок подана только одна заявка;</w:t>
      </w:r>
    </w:p>
    <w:p>
      <w:pPr>
        <w:pStyle w:val="0"/>
        <w:spacing w:before="240" w:lineRule="auto"/>
        <w:ind w:firstLine="540"/>
        <w:jc w:val="both"/>
      </w:pPr>
      <w:r>
        <w:rPr>
          <w:sz w:val="24"/>
        </w:rPr>
        <w:t xml:space="preserve">по результатам рассмотрения заявок только одна заявка соответствует требованиям, установленным в объявлении о проведении отбора;</w:t>
      </w:r>
    </w:p>
    <w:p>
      <w:pPr>
        <w:pStyle w:val="0"/>
        <w:spacing w:before="240" w:lineRule="auto"/>
        <w:ind w:firstLine="540"/>
        <w:jc w:val="both"/>
      </w:pPr>
      <w:r>
        <w:rPr>
          <w:sz w:val="24"/>
        </w:rPr>
        <w:t xml:space="preserve">по окончании срока приема заявок не подано ни одной заявки;</w:t>
      </w:r>
    </w:p>
    <w:p>
      <w:pPr>
        <w:pStyle w:val="0"/>
        <w:spacing w:before="240" w:lineRule="auto"/>
        <w:ind w:firstLine="540"/>
        <w:jc w:val="both"/>
      </w:pPr>
      <w:r>
        <w:rPr>
          <w:sz w:val="24"/>
        </w:rPr>
        <w:t xml:space="preserve">по результатам рассмотрения заявок отклонены все заявки.</w:t>
      </w:r>
    </w:p>
    <w:p>
      <w:pPr>
        <w:pStyle w:val="0"/>
        <w:spacing w:before="240" w:lineRule="auto"/>
        <w:ind w:firstLine="540"/>
        <w:jc w:val="both"/>
      </w:pPr>
      <w:r>
        <w:rPr>
          <w:sz w:val="24"/>
        </w:rPr>
        <w:t xml:space="preserve">Соглашение заключается с участником отбора, признанного несостоявшимся, в случае если по результатам рассмотрения заявок единственная заявка признана соответствующей требованиям, установленным в объявлении о проведении отбора.</w:t>
      </w:r>
    </w:p>
    <w:p>
      <w:pPr>
        <w:pStyle w:val="0"/>
        <w:spacing w:before="240" w:lineRule="auto"/>
        <w:ind w:firstLine="540"/>
        <w:jc w:val="both"/>
      </w:pPr>
      <w:r>
        <w:rPr>
          <w:sz w:val="24"/>
        </w:rPr>
        <w:t xml:space="preserve">4.5. Ранжирование поступивших заявок осуществляется исходя из соответствия участников отбора категориям получателей субсидий, критериям отбора и очередности их поступления.</w:t>
      </w:r>
    </w:p>
    <w:bookmarkStart w:id="262" w:name="P262"/>
    <w:bookmarkEnd w:id="262"/>
    <w:p>
      <w:pPr>
        <w:pStyle w:val="0"/>
        <w:spacing w:before="240" w:lineRule="auto"/>
        <w:ind w:firstLine="540"/>
        <w:jc w:val="both"/>
      </w:pPr>
      <w:r>
        <w:rPr>
          <w:sz w:val="24"/>
        </w:rPr>
        <w:t xml:space="preserve">Победителями отбора признаются участники отбора, включенные в рейтинг, сформированный Минэкономразвития Чувашии по результатам ранжирования поступивших заявок в пределах объема распределяемой субсидии, указанного в объявлении о проведении отбора в соответствии с </w:t>
      </w:r>
      <w:hyperlink w:history="0" w:anchor="P187" w:tooltip="объем распределяемой в рамках отбора субсидии, порядок расчета размера субсидии, установленный настоящими Правилами, правила распределения субсидии по результатам отбора, которые могут включать максимальный и минимальный размеры субсидии, предоставляемой победителю (победителям) отбора, а также предельное количество победителей отбора;">
        <w:r>
          <w:rPr>
            <w:sz w:val="24"/>
            <w:color w:val="0000ff"/>
          </w:rPr>
          <w:t xml:space="preserve">абзацем семнадцатым пункта 3.1</w:t>
        </w:r>
      </w:hyperlink>
      <w:r>
        <w:rPr>
          <w:sz w:val="24"/>
        </w:rPr>
        <w:t xml:space="preserve"> настоящих Правил.</w:t>
      </w:r>
    </w:p>
    <w:p>
      <w:pPr>
        <w:pStyle w:val="0"/>
        <w:spacing w:before="240" w:lineRule="auto"/>
        <w:ind w:firstLine="540"/>
        <w:jc w:val="both"/>
      </w:pPr>
      <w:r>
        <w:rPr>
          <w:sz w:val="24"/>
        </w:rPr>
        <w:t xml:space="preserve">При поступлении двух и более заявок, к которым прилагаются заявления, содержащие обязательство использования мобильного торгового объекта на осуществление развозной торговли в одних и тех же отдаленных малочисленных населенных пунктах на территории одного муниципального округа Чувашской Республики, отбор проводится исходя из очередности поступления заявок и количества отдаленных малочисленных населенных пунктов Чувашской Республики, указанных участником отбора в заявке.</w:t>
      </w:r>
    </w:p>
    <w:bookmarkStart w:id="264" w:name="P264"/>
    <w:bookmarkEnd w:id="264"/>
    <w:p>
      <w:pPr>
        <w:pStyle w:val="0"/>
        <w:spacing w:before="240" w:lineRule="auto"/>
        <w:ind w:firstLine="540"/>
        <w:jc w:val="both"/>
      </w:pPr>
      <w:r>
        <w:rPr>
          <w:sz w:val="24"/>
        </w:rPr>
        <w:t xml:space="preserve">Не позднее одного рабочего дня, следующего за днем окончания срока рассмотрения заявок, формируется протокол подведения итогов отбора, включающий информацию о победителях отбора с указанием размера субсидии, предусмотренной им для предоставления, об отклонении заявок с указанием оснований для их отклонения, об отказе в предоставлении субсидии с указанием оснований для отказа.</w:t>
      </w:r>
    </w:p>
    <w:p>
      <w:pPr>
        <w:pStyle w:val="0"/>
        <w:spacing w:before="240" w:lineRule="auto"/>
        <w:ind w:firstLine="540"/>
        <w:jc w:val="both"/>
      </w:pPr>
      <w:r>
        <w:rPr>
          <w:sz w:val="24"/>
        </w:rPr>
        <w:t xml:space="preserve">4.6. При указании в протоколе подведения итогов отбора размера субсидии, предусмотренной для предоставления участнику отбора в соответствии с </w:t>
      </w:r>
      <w:hyperlink w:history="0" w:anchor="P264" w:tooltip="Не позднее одного рабочего дня, следующего за днем окончания срока рассмотрения заявок, формируется протокол подведения итогов отбора, включающий информацию о победителях отбора с указанием размера субсидии, предусмотренной им для предоставления, об отклонении заявок с указанием оснований для их отклонения, об отказе в предоставлении субсидии с указанием оснований для отказа.">
        <w:r>
          <w:rPr>
            <w:sz w:val="24"/>
            <w:color w:val="0000ff"/>
          </w:rPr>
          <w:t xml:space="preserve">абзацем четвертым пункта 4.5</w:t>
        </w:r>
      </w:hyperlink>
      <w:r>
        <w:rPr>
          <w:sz w:val="24"/>
        </w:rPr>
        <w:t xml:space="preserve"> настоящих Правил, Минэкономразвития Чувашии корректирует размер субсидии, предусмотренной для предоставления такому участнику отбора, в случае:</w:t>
      </w:r>
    </w:p>
    <w:p>
      <w:pPr>
        <w:pStyle w:val="0"/>
        <w:spacing w:before="240" w:lineRule="auto"/>
        <w:ind w:firstLine="540"/>
        <w:jc w:val="both"/>
      </w:pPr>
      <w:r>
        <w:rPr>
          <w:sz w:val="24"/>
        </w:rPr>
        <w:t xml:space="preserve">несоответствия запрашиваемого им размера субсидии порядку расчета размера субсидии, установленному </w:t>
      </w:r>
      <w:hyperlink w:history="0" w:anchor="P152" w:tooltip="2.6. Размер предоставляемой субсидии рассчитывается по формуле">
        <w:r>
          <w:rPr>
            <w:sz w:val="24"/>
            <w:color w:val="0000ff"/>
          </w:rPr>
          <w:t xml:space="preserve">пунктом 2.6</w:t>
        </w:r>
      </w:hyperlink>
      <w:r>
        <w:rPr>
          <w:sz w:val="24"/>
        </w:rPr>
        <w:t xml:space="preserve"> настоящих Правил;</w:t>
      </w:r>
    </w:p>
    <w:p>
      <w:pPr>
        <w:pStyle w:val="0"/>
        <w:spacing w:before="240" w:lineRule="auto"/>
        <w:ind w:firstLine="540"/>
        <w:jc w:val="both"/>
      </w:pPr>
      <w:r>
        <w:rPr>
          <w:sz w:val="24"/>
        </w:rPr>
        <w:t xml:space="preserve">включения участником отбора в запрашиваемый им размер субсидии затрат, не подлежащих возмещению в соответствии с требованиями </w:t>
      </w:r>
      <w:hyperlink w:history="0" w:anchor="P51" w:tooltip="1.3. Субсидии предоставляются в рамках реализации комплекса процессных мероприятий &quot;Совершенствование потребительского рынка и системы защиты прав потребителей&quot; государственной программы Чувашской Республики &quot;Экономическое развитие Чувашской Республики&quot;, утвержденной постановлением Кабинета Министров Чувашской Республики от 5 декабря 2018 г. N 496, предусматривающего мероприятия по развитию инфраструктуры в сфере потребительского рынка.">
        <w:r>
          <w:rPr>
            <w:sz w:val="24"/>
            <w:color w:val="0000ff"/>
          </w:rPr>
          <w:t xml:space="preserve">пункта 1.3</w:t>
        </w:r>
      </w:hyperlink>
      <w:r>
        <w:rPr>
          <w:sz w:val="24"/>
        </w:rPr>
        <w:t xml:space="preserve"> и (или) </w:t>
      </w:r>
      <w:hyperlink w:history="0" w:anchor="P60" w:tooltip="1.5. Организациям потребительской кооперации, субъектам малого и среднего предпринимательства возмещается до 30 процентов фактически произведенных и документально подтвержденных расходов на покупку (приобретение) мобильного торгового объекта в текущем и (или) предыдущем календарном году, но не ранее 2025 года.">
        <w:r>
          <w:rPr>
            <w:sz w:val="24"/>
            <w:color w:val="0000ff"/>
          </w:rPr>
          <w:t xml:space="preserve">пункта 1.5</w:t>
        </w:r>
      </w:hyperlink>
      <w:r>
        <w:rPr>
          <w:sz w:val="24"/>
        </w:rPr>
        <w:t xml:space="preserve"> настоящих Правил.</w:t>
      </w:r>
    </w:p>
    <w:p>
      <w:pPr>
        <w:pStyle w:val="0"/>
        <w:spacing w:before="240" w:lineRule="auto"/>
        <w:ind w:firstLine="540"/>
        <w:jc w:val="both"/>
      </w:pPr>
      <w:r>
        <w:rPr>
          <w:sz w:val="24"/>
        </w:rPr>
        <w:t xml:space="preserve">4.7. Субсидии распределяются между участниками отбора, включенными в рейтинг, указанный в </w:t>
      </w:r>
      <w:hyperlink w:history="0" w:anchor="P262" w:tooltip="Победителями отбора признаются участники отбора, включенные в рейтинг, сформированный Минэкономразвития Чувашии по результатам ранжирования поступивших заявок в пределах объема распределяемой субсидии, указанного в объявлении о проведении отбора в соответствии с абзацем семнадцатым пункта 3.1 настоящих Правил.">
        <w:r>
          <w:rPr>
            <w:sz w:val="24"/>
            <w:color w:val="0000ff"/>
          </w:rPr>
          <w:t xml:space="preserve">абзаце втором пункта 4.5</w:t>
        </w:r>
      </w:hyperlink>
      <w:r>
        <w:rPr>
          <w:sz w:val="24"/>
        </w:rPr>
        <w:t xml:space="preserve"> настоящих Правил, следующим способом: участнику отбора, которому присвоен первый порядковый номер в рейтинге, предоставляется субсидия в размере, равном размеру, указанному им в заявке, но не более максимального размера субсидии, предусмотренного </w:t>
      </w:r>
      <w:hyperlink w:history="0" w:anchor="P159" w:tooltip="2.7. Максимальный размер субсидии в расчете на одного получателя субсидии, не признанного ответственным субъектом предпринимательской деятельности в Чувашской Республике в соответствии с Законом Чувашской Республики &quot;О развитии ответственного ведения бизнеса в Чувашской Республике&quot;, не может превышать 1,4 млн. рублей и составляет не более 30 процентов фактически произведенных и документально подтвержденных расходов получателя субсидии на покупку (приобретение) мобильного торгового объекта.">
        <w:r>
          <w:rPr>
            <w:sz w:val="24"/>
            <w:color w:val="0000ff"/>
          </w:rPr>
          <w:t xml:space="preserve">пунктом 2.7</w:t>
        </w:r>
      </w:hyperlink>
      <w:r>
        <w:rPr>
          <w:sz w:val="24"/>
        </w:rPr>
        <w:t xml:space="preserve"> настоящих Правил.</w:t>
      </w:r>
    </w:p>
    <w:p>
      <w:pPr>
        <w:pStyle w:val="0"/>
        <w:spacing w:before="240" w:lineRule="auto"/>
        <w:ind w:firstLine="540"/>
        <w:jc w:val="both"/>
      </w:pPr>
      <w:r>
        <w:rPr>
          <w:sz w:val="24"/>
        </w:rPr>
        <w:t xml:space="preserve">В случае если субсидия, распределяемая в рамках отбора, больше размера субсидии, указанного в заявке, поданной участником отбора, которому присвоен первый порядковый номер, оставшийся размер субсидии распределяется между остальными участниками отбора, включенными в рейтинг.</w:t>
      </w:r>
    </w:p>
    <w:p>
      <w:pPr>
        <w:pStyle w:val="0"/>
        <w:spacing w:before="240" w:lineRule="auto"/>
        <w:ind w:firstLine="540"/>
        <w:jc w:val="both"/>
      </w:pPr>
      <w:r>
        <w:rPr>
          <w:sz w:val="24"/>
        </w:rPr>
        <w:t xml:space="preserve">Каждому следующему участнику отбора, включенному в рейтинг, предоставляется субсидия в размере, равном размеру, указанному им в заявке, но не более максимального размера субсидии, предусмотренного </w:t>
      </w:r>
      <w:hyperlink w:history="0" w:anchor="P159" w:tooltip="2.7. Максимальный размер субсидии в расчете на одного получателя субсидии, не признанного ответственным субъектом предпринимательской деятельности в Чувашской Республике в соответствии с Законом Чувашской Республики &quot;О развитии ответственного ведения бизнеса в Чувашской Республике&quot;, не может превышать 1,4 млн. рублей и составляет не более 30 процентов фактически произведенных и документально подтвержденных расходов получателя субсидии на покупку (приобретение) мобильного торгового объекта.">
        <w:r>
          <w:rPr>
            <w:sz w:val="24"/>
            <w:color w:val="0000ff"/>
          </w:rPr>
          <w:t xml:space="preserve">пунктом 2.7</w:t>
        </w:r>
      </w:hyperlink>
      <w:r>
        <w:rPr>
          <w:sz w:val="24"/>
        </w:rPr>
        <w:t xml:space="preserve"> настоящих Правил, в случае если указанный им размер меньше нераспределенного размера субсидии либо равен ему.</w:t>
      </w:r>
    </w:p>
    <w:p>
      <w:pPr>
        <w:pStyle w:val="0"/>
        <w:spacing w:before="240" w:lineRule="auto"/>
        <w:ind w:firstLine="540"/>
        <w:jc w:val="both"/>
      </w:pPr>
      <w:r>
        <w:rPr>
          <w:sz w:val="24"/>
        </w:rPr>
        <w:t xml:space="preserve">В случае если размер субсидии, указанный участником отбора в заявке, больше нераспределенного размера субсидии, такому участнику отбора при его согласии предоставляется весь оставшийся нераспределенный размер субсидии, но не более максимального размера субсидии, определенного в объявлении о проведении отбора, без изменения указанного участником отбора в заявке значения результата предоставления субсидии.</w:t>
      </w:r>
    </w:p>
    <w:p>
      <w:pPr>
        <w:pStyle w:val="0"/>
        <w:spacing w:before="240" w:lineRule="auto"/>
        <w:ind w:firstLine="540"/>
        <w:jc w:val="both"/>
      </w:pPr>
      <w:r>
        <w:rPr>
          <w:sz w:val="24"/>
        </w:rPr>
        <w:t xml:space="preserve">4.8. Основаниями для отказа Минэкономразвития Чувашии участнику отбора в предоставлении субсидии являются:</w:t>
      </w:r>
    </w:p>
    <w:p>
      <w:pPr>
        <w:pStyle w:val="0"/>
        <w:spacing w:before="240" w:lineRule="auto"/>
        <w:ind w:firstLine="540"/>
        <w:jc w:val="both"/>
      </w:pPr>
      <w:r>
        <w:rPr>
          <w:sz w:val="24"/>
        </w:rPr>
        <w:t xml:space="preserve">несоответствие представленных документов и (или) заявки требованиям, установленным в объявлении о проведении отбора, или непредставление (представление не в полном объеме) указанных документов;</w:t>
      </w:r>
    </w:p>
    <w:p>
      <w:pPr>
        <w:pStyle w:val="0"/>
        <w:spacing w:before="240" w:lineRule="auto"/>
        <w:ind w:firstLine="540"/>
        <w:jc w:val="both"/>
      </w:pPr>
      <w:r>
        <w:rPr>
          <w:sz w:val="24"/>
        </w:rPr>
        <w:t xml:space="preserve">установление факта недостоверности представленной участником отбора информации;</w:t>
      </w:r>
    </w:p>
    <w:p>
      <w:pPr>
        <w:pStyle w:val="0"/>
        <w:spacing w:before="240" w:lineRule="auto"/>
        <w:ind w:firstLine="540"/>
        <w:jc w:val="both"/>
      </w:pPr>
      <w:r>
        <w:rPr>
          <w:sz w:val="24"/>
        </w:rPr>
        <w:t xml:space="preserve">ранее в отношении участника отбора 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pPr>
        <w:pStyle w:val="0"/>
        <w:spacing w:before="240" w:lineRule="auto"/>
        <w:ind w:firstLine="540"/>
        <w:jc w:val="both"/>
      </w:pPr>
      <w:r>
        <w:rPr>
          <w:sz w:val="24"/>
        </w:rPr>
        <w:t xml:space="preserve">с даты признания участника отбора совершившим нарушение порядка и условий оказания поддержки прошло менее одного года, за исключением случая более раннего устранения участником отбора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участника отбора совершившим такое нарушение прошло менее трех лет. В соответствии с законодательством Российской Федерации положения, предусмотренные настоящим абзацем, распространяются на виды поддержки, в отношении которых органом или организацией, оказавшими поддержку, выявлены нарушения участником отбора порядка и условий оказания поддержки;</w:t>
      </w:r>
    </w:p>
    <w:p>
      <w:pPr>
        <w:pStyle w:val="0"/>
        <w:jc w:val="both"/>
      </w:pPr>
      <w:r>
        <w:rPr>
          <w:sz w:val="24"/>
        </w:rPr>
        <w:t xml:space="preserve">(в ред. </w:t>
      </w:r>
      <w:r>
        <w:rPr>
          <w:sz w:val="24"/>
        </w:rPr>
        <w:t xml:space="preserve">Постановления</w:t>
      </w:r>
      <w:r>
        <w:rPr>
          <w:sz w:val="24"/>
        </w:rPr>
        <w:t xml:space="preserve"> Кабинета Министров ЧР от 08.04.2026 N 198)</w:t>
      </w:r>
    </w:p>
    <w:p>
      <w:pPr>
        <w:pStyle w:val="0"/>
        <w:spacing w:before="240" w:lineRule="auto"/>
        <w:ind w:firstLine="540"/>
        <w:jc w:val="both"/>
      </w:pPr>
      <w:r>
        <w:rPr>
          <w:sz w:val="24"/>
        </w:rPr>
        <w:t xml:space="preserve">отсутствие лимитов бюджетных обязательств.</w:t>
      </w:r>
    </w:p>
    <w:p>
      <w:pPr>
        <w:pStyle w:val="0"/>
        <w:spacing w:before="240" w:lineRule="auto"/>
        <w:ind w:firstLine="540"/>
        <w:jc w:val="both"/>
      </w:pPr>
      <w:r>
        <w:rPr>
          <w:sz w:val="24"/>
        </w:rPr>
        <w:t xml:space="preserve">4.9. 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в системе "Электронный бюджет", а также размещается на едином портале и официальном сайте Минэкономразвития Чувашии не позднее одного рабочего дня, следующего за днем его подписания.</w:t>
      </w:r>
    </w:p>
    <w:p>
      <w:pPr>
        <w:pStyle w:val="0"/>
        <w:spacing w:before="240" w:lineRule="auto"/>
        <w:ind w:firstLine="540"/>
        <w:jc w:val="both"/>
      </w:pPr>
      <w:r>
        <w:rPr>
          <w:sz w:val="24"/>
        </w:rPr>
        <w:t xml:space="preserve">Внесение изменений в протокол подведения итогов отбора осуществляется не позднее 10 календарных дней со дня подписания первой версии протокола подведения итогов отбора путем формирования новой версии указанного протокола с указанием причин внесения изменений.</w:t>
      </w:r>
    </w:p>
    <w:p>
      <w:pPr>
        <w:pStyle w:val="0"/>
        <w:spacing w:before="240" w:lineRule="auto"/>
        <w:ind w:firstLine="540"/>
        <w:jc w:val="both"/>
      </w:pPr>
      <w:r>
        <w:rPr>
          <w:sz w:val="24"/>
        </w:rPr>
        <w:t xml:space="preserve">В протокол подведения итогов отбора включаются следующие сведения:</w:t>
      </w:r>
    </w:p>
    <w:p>
      <w:pPr>
        <w:pStyle w:val="0"/>
        <w:spacing w:before="240" w:lineRule="auto"/>
        <w:ind w:firstLine="540"/>
        <w:jc w:val="both"/>
      </w:pPr>
      <w:r>
        <w:rPr>
          <w:sz w:val="24"/>
        </w:rPr>
        <w:t xml:space="preserve">дата, время и место проведения рассмотрения заявок;</w:t>
      </w:r>
    </w:p>
    <w:p>
      <w:pPr>
        <w:pStyle w:val="0"/>
        <w:spacing w:before="240" w:lineRule="auto"/>
        <w:ind w:firstLine="540"/>
        <w:jc w:val="both"/>
      </w:pPr>
      <w:r>
        <w:rPr>
          <w:sz w:val="24"/>
        </w:rPr>
        <w:t xml:space="preserve">информация об участниках отбора, заявки которых были рассмотрены;</w:t>
      </w:r>
    </w:p>
    <w:p>
      <w:pPr>
        <w:pStyle w:val="0"/>
        <w:spacing w:before="240" w:lineRule="auto"/>
        <w:ind w:firstLine="540"/>
        <w:jc w:val="both"/>
      </w:pPr>
      <w:r>
        <w:rPr>
          <w:sz w:val="24"/>
        </w:rPr>
        <w:t xml:space="preserve">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pPr>
        <w:pStyle w:val="0"/>
        <w:spacing w:before="240" w:lineRule="auto"/>
        <w:ind w:firstLine="540"/>
        <w:jc w:val="both"/>
      </w:pPr>
      <w:r>
        <w:rPr>
          <w:sz w:val="24"/>
        </w:rPr>
        <w:t xml:space="preserve">информация об участниках отбора, которым было отказано в предоставлении субсидии, с указанием причин отказа;</w:t>
      </w:r>
    </w:p>
    <w:p>
      <w:pPr>
        <w:pStyle w:val="0"/>
        <w:spacing w:before="240" w:lineRule="auto"/>
        <w:ind w:firstLine="540"/>
        <w:jc w:val="both"/>
      </w:pPr>
      <w:r>
        <w:rPr>
          <w:sz w:val="24"/>
        </w:rPr>
        <w:t xml:space="preserve">наименование победителя (победителей) отбора, с которым заключается соглашение, и размер предоставляемой ему (им) субсидии.</w:t>
      </w:r>
    </w:p>
    <w:p>
      <w:pPr>
        <w:pStyle w:val="0"/>
        <w:spacing w:before="240" w:lineRule="auto"/>
        <w:ind w:firstLine="540"/>
        <w:jc w:val="both"/>
      </w:pPr>
      <w:r>
        <w:rPr>
          <w:sz w:val="24"/>
        </w:rPr>
        <w:t xml:space="preserve">4.10. По результатам отбора с победителем (победителями) отбора заключается соглашение (дополнительное соглашение к соглашению) в соответствии с настоящими Правилами.</w:t>
      </w:r>
    </w:p>
    <w:p>
      <w:pPr>
        <w:pStyle w:val="0"/>
        <w:spacing w:before="240" w:lineRule="auto"/>
        <w:ind w:firstLine="540"/>
        <w:jc w:val="both"/>
      </w:pPr>
      <w:r>
        <w:rPr>
          <w:sz w:val="24"/>
        </w:rPr>
        <w:t xml:space="preserve">Минэкономразвития Чувашии в течение трех рабочих дней со дня размещения протокола подведения итогов отбора на едином портале формирует проекты соглашений, дополнительных соглашений к соглашениям (при необходимости) в системе "Электронный бюджет".</w:t>
      </w:r>
    </w:p>
    <w:p>
      <w:pPr>
        <w:pStyle w:val="0"/>
        <w:spacing w:before="240" w:lineRule="auto"/>
        <w:ind w:firstLine="540"/>
        <w:jc w:val="both"/>
      </w:pPr>
      <w:r>
        <w:rPr>
          <w:sz w:val="24"/>
        </w:rPr>
        <w:t xml:space="preserve">Соглашение, дополнительное соглашение к соглашению, в том числе дополнительное соглашение о расторжении соглашения (при необходимости), между Минэкономразвития Чувашии и победителем (победителями) отбора заключаются в системе "Электронный бюджет" в соответствии с типовыми формами, установленными Минфином Чувашии для соглашений о предоставлении субсидий из республиканского бюджета Чувашской Республики.</w:t>
      </w:r>
    </w:p>
    <w:p>
      <w:pPr>
        <w:pStyle w:val="0"/>
        <w:spacing w:before="240" w:lineRule="auto"/>
        <w:ind w:firstLine="540"/>
        <w:jc w:val="both"/>
      </w:pPr>
      <w:r>
        <w:rPr>
          <w:sz w:val="24"/>
        </w:rPr>
        <w:t xml:space="preserve">В соглашение включается условие о согласовании новых условий соглашения или о расторжении соглашения при недостижении согласия по новым условиям в случае уменьшения Минэкономразвития Чувашии ранее доведенных лимитов бюджетных обязательств, приводящего к невозможности предоставления субсидии в размере, определенном в соглашении.</w:t>
      </w:r>
    </w:p>
    <w:p>
      <w:pPr>
        <w:pStyle w:val="0"/>
        <w:spacing w:before="240" w:lineRule="auto"/>
        <w:ind w:firstLine="540"/>
        <w:jc w:val="both"/>
      </w:pPr>
      <w:r>
        <w:rPr>
          <w:sz w:val="24"/>
        </w:rPr>
        <w:t xml:space="preserve">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40" w:lineRule="auto"/>
        <w:ind w:firstLine="540"/>
        <w:jc w:val="both"/>
      </w:pPr>
      <w:r>
        <w:rPr>
          <w:sz w:val="24"/>
        </w:rP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r>
        <w:rPr>
          <w:sz w:val="24"/>
        </w:rPr>
        <w:t xml:space="preserve">абзацем вторым пункта 5 статьи 23</w:t>
      </w:r>
      <w:r>
        <w:rPr>
          <w:sz w:val="24"/>
        </w:rP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республиканский бюджет Чувашской Республики.</w:t>
      </w:r>
    </w:p>
    <w:p>
      <w:pPr>
        <w:pStyle w:val="0"/>
        <w:spacing w:before="240" w:lineRule="auto"/>
        <w:ind w:firstLine="540"/>
        <w:jc w:val="both"/>
      </w:pPr>
      <w:r>
        <w:rPr>
          <w:sz w:val="24"/>
        </w:rPr>
        <w:t xml:space="preserve">4.11. В целях заключения соглашения победителем (победителями) отбора в системе "Электронный бюджет" указывается информация о счетах в соответствии с законодательством Российской Федерации для перечисления субсидии, а также о лице, уполномоченном на подписание соглашения (при необходимости).</w:t>
      </w:r>
    </w:p>
    <w:p>
      <w:pPr>
        <w:pStyle w:val="0"/>
        <w:spacing w:before="240" w:lineRule="auto"/>
        <w:ind w:firstLine="540"/>
        <w:jc w:val="both"/>
      </w:pPr>
      <w:r>
        <w:rPr>
          <w:sz w:val="24"/>
        </w:rPr>
        <w:t xml:space="preserve">4.12. В случае отказа победителя отбора от заключения соглашения, неподписания победителем отбора соглашения в срок, определенный объявлением о проведении отбора в соответствии с </w:t>
      </w:r>
      <w:hyperlink w:history="0" w:anchor="P297" w:tooltip="4.14. Если победитель отбора не подписал соглашение в течение пяти рабочих дней со дня поступления соглашения на подписание в систему &quot;Электронный бюджет&quot; и не направил возражения по проекту соглашения, он признается уклонившимся от заключения соглашения.">
        <w:r>
          <w:rPr>
            <w:sz w:val="24"/>
            <w:color w:val="0000ff"/>
          </w:rPr>
          <w:t xml:space="preserve">пунктом 4.14</w:t>
        </w:r>
      </w:hyperlink>
      <w:r>
        <w:rPr>
          <w:sz w:val="24"/>
        </w:rPr>
        <w:t xml:space="preserve"> настоящих Правил, Минэкономразвития Чувашии направляет иному участнику отбора, признанному победителем отбора второй и последующей очереди, заявка которого не была удовлетворена, предложение о заключения соглашения.</w:t>
      </w:r>
    </w:p>
    <w:p>
      <w:pPr>
        <w:pStyle w:val="0"/>
        <w:spacing w:before="240" w:lineRule="auto"/>
        <w:ind w:firstLine="540"/>
        <w:jc w:val="both"/>
      </w:pPr>
      <w:r>
        <w:rPr>
          <w:sz w:val="24"/>
        </w:rPr>
        <w:t xml:space="preserve">4.13. В случае наличия по результатам проведения отбора остатка лимитов бюджетных обязательств на предоставление субсидии на соответствующий финансовый год, не распределенного между победителями отбора, увеличения лимитов бюджетных обязательств, отказа победителя отбора от заключения соглашения, расторжения соглашения с получателем субсидии Минэкономразвития Чувашии принимает решение о проведении дополнительного отбора в соответствии с положениями настоящих Правил, предусмотренными для проведения отбора.</w:t>
      </w:r>
    </w:p>
    <w:p>
      <w:pPr>
        <w:pStyle w:val="0"/>
        <w:spacing w:before="240" w:lineRule="auto"/>
        <w:ind w:firstLine="540"/>
        <w:jc w:val="both"/>
      </w:pPr>
      <w:r>
        <w:rPr>
          <w:sz w:val="24"/>
        </w:rPr>
        <w:t xml:space="preserve">В случае увеличения Минэкономразвития Чувашии лимитов бюджетных обязательств на предоставление субсидии в пределах текущего финансового года, отказа победителя отбора от заключения соглашения, расторжения соглашения с получателем субсидии и наличия участников отбора, прошедших отбор и признанных победителями отбора, но получивших отказ в предоставлении субсидии по причине отсутствия лимитов бюджетных обязательств, субсидия распределяется без повторного проведения отбора с учетом присвоенного ранее номера очередности.</w:t>
      </w:r>
    </w:p>
    <w:bookmarkStart w:id="297" w:name="P297"/>
    <w:bookmarkEnd w:id="297"/>
    <w:p>
      <w:pPr>
        <w:pStyle w:val="0"/>
        <w:spacing w:before="240" w:lineRule="auto"/>
        <w:ind w:firstLine="540"/>
        <w:jc w:val="both"/>
      </w:pPr>
      <w:r>
        <w:rPr>
          <w:sz w:val="24"/>
        </w:rPr>
        <w:t xml:space="preserve">4.14. Если победитель отбора не подписал соглашение в течение пяти рабочих дней со дня поступления соглашения на подписание в систему "Электронный бюджет" и не направил возражения по проекту соглашения, он признается уклонившимся от заключения соглашения.</w:t>
      </w:r>
    </w:p>
    <w:bookmarkStart w:id="298" w:name="P298"/>
    <w:bookmarkEnd w:id="298"/>
    <w:p>
      <w:pPr>
        <w:pStyle w:val="0"/>
        <w:spacing w:before="240" w:lineRule="auto"/>
        <w:ind w:firstLine="540"/>
        <w:jc w:val="both"/>
      </w:pPr>
      <w:r>
        <w:rPr>
          <w:sz w:val="24"/>
        </w:rPr>
        <w:t xml:space="preserve">4.15. Минэкономразвития Чувашии в течение трех рабочих дней со дня подписания победителями отбора соглашений составляет сводную </w:t>
      </w:r>
      <w:hyperlink w:history="0" w:anchor="P797" w:tooltip="СВОДНАЯ СПРАВКА-РЕЕСТР">
        <w:r>
          <w:rPr>
            <w:sz w:val="24"/>
            <w:color w:val="0000ff"/>
          </w:rPr>
          <w:t xml:space="preserve">справку-реестр</w:t>
        </w:r>
      </w:hyperlink>
      <w:r>
        <w:rPr>
          <w:sz w:val="24"/>
        </w:rPr>
        <w:t xml:space="preserve"> о причитающихся суммах субсидий из республиканского бюджета Чувашской Республики на возмещение части затрат на приобретение мобильных торговых объектов по форме согласно приложению N 5 к настоящим Правилам и представляет ее в электронном виде в Минфин Чувашии вместе с заявками на кассовый расход и соглашениями.</w:t>
      </w:r>
    </w:p>
    <w:p>
      <w:pPr>
        <w:pStyle w:val="0"/>
        <w:jc w:val="both"/>
      </w:pPr>
      <w:r>
        <w:rPr>
          <w:sz w:val="24"/>
        </w:rPr>
        <w:t xml:space="preserve">(в ред. </w:t>
      </w:r>
      <w:r>
        <w:rPr>
          <w:sz w:val="24"/>
        </w:rPr>
        <w:t xml:space="preserve">Постановления</w:t>
      </w:r>
      <w:r>
        <w:rPr>
          <w:sz w:val="24"/>
        </w:rPr>
        <w:t xml:space="preserve"> Кабинета Министров ЧР от 08.04.2026 N 198)</w:t>
      </w:r>
    </w:p>
    <w:p>
      <w:pPr>
        <w:pStyle w:val="0"/>
        <w:spacing w:before="240" w:lineRule="auto"/>
        <w:ind w:firstLine="540"/>
        <w:jc w:val="both"/>
      </w:pPr>
      <w:r>
        <w:rPr>
          <w:sz w:val="24"/>
        </w:rPr>
        <w:t xml:space="preserve">Перечисление субсидий осуществляется с лицевого счета получателя средств республиканского бюджета Чувашской Республики - Минэкономразвития Чувашии, открытого в Минфине Чувашии, на расчетные счета, открытые получателям субсидий в кредитных организациях, в течение трех рабочих дней со дня представления документов, указанных в </w:t>
      </w:r>
      <w:hyperlink w:history="0" w:anchor="P298" w:tooltip="4.15. Минэкономразвития Чувашии в течение трех рабочих дней со дня подписания победителями отбора соглашений составляет сводную справку-реестр о причитающихся суммах субсидий из республиканского бюджета Чувашской Республики на возмещение части затрат на приобретение мобильных торговых объектов по форме согласно приложению N 5 к настоящим Правилам и представляет ее в электронном виде в Минфин Чувашии вместе с заявками на кассовый расход и соглашениями.">
        <w:r>
          <w:rPr>
            <w:sz w:val="24"/>
            <w:color w:val="0000ff"/>
          </w:rPr>
          <w:t xml:space="preserve">абзаце первом</w:t>
        </w:r>
      </w:hyperlink>
      <w:r>
        <w:rPr>
          <w:sz w:val="24"/>
        </w:rPr>
        <w:t xml:space="preserve"> настоящего пункта.</w:t>
      </w:r>
    </w:p>
    <w:bookmarkStart w:id="301" w:name="P301"/>
    <w:bookmarkEnd w:id="301"/>
    <w:p>
      <w:pPr>
        <w:pStyle w:val="0"/>
        <w:spacing w:before="240" w:lineRule="auto"/>
        <w:ind w:firstLine="540"/>
        <w:jc w:val="both"/>
      </w:pPr>
      <w:r>
        <w:rPr>
          <w:sz w:val="24"/>
        </w:rPr>
        <w:t xml:space="preserve">4.16. Результатом предоставления субсидии является количество выездов мобильных торговых объектов получателей субсидий в отдаленные малочисленные населенные пункты согласно графику, установленному соглашением.</w:t>
      </w:r>
    </w:p>
    <w:p>
      <w:pPr>
        <w:pStyle w:val="0"/>
        <w:spacing w:before="240" w:lineRule="auto"/>
        <w:ind w:firstLine="540"/>
        <w:jc w:val="both"/>
      </w:pPr>
      <w:r>
        <w:rPr>
          <w:sz w:val="24"/>
        </w:rPr>
        <w:t xml:space="preserve">Характеристикой результата предоставления субсидии является осуществление не менее одного раза в неделю в течение трех лет развозной торговли в не менее чем пяти отдаленных малочисленных населенных пунктах, установленных соглашением.</w:t>
      </w:r>
    </w:p>
    <w:p>
      <w:pPr>
        <w:pStyle w:val="0"/>
        <w:spacing w:before="240" w:lineRule="auto"/>
        <w:ind w:firstLine="540"/>
        <w:jc w:val="both"/>
      </w:pPr>
      <w:r>
        <w:rPr>
          <w:sz w:val="24"/>
        </w:rPr>
        <w:t xml:space="preserve">4.17. Получатель субсидии ежеквартально до 15 числа месяца, следующего за отчетным кварталом, в течение срока действия соглашения представляет в Минэкономразвития Чувашии с использованием системы "Электронный бюджет" отчет о достижении значения результата предоставления субсидии и характеристики результата по форме, установленной соглашением (далее - отчет).</w:t>
      </w:r>
    </w:p>
    <w:p>
      <w:pPr>
        <w:pStyle w:val="0"/>
        <w:spacing w:before="240" w:lineRule="auto"/>
        <w:ind w:firstLine="540"/>
        <w:jc w:val="both"/>
      </w:pPr>
      <w:r>
        <w:rPr>
          <w:sz w:val="24"/>
        </w:rPr>
        <w:t xml:space="preserve">Минэкономразвития Чувашии осуществляет проверку и принятие отчета в срок, не превышающий 10 рабочих дней со дня его представления получателем субсидии.</w:t>
      </w:r>
    </w:p>
    <w:p>
      <w:pPr>
        <w:pStyle w:val="0"/>
        <w:spacing w:before="240" w:lineRule="auto"/>
        <w:ind w:firstLine="540"/>
        <w:jc w:val="both"/>
      </w:pPr>
      <w:r>
        <w:rPr>
          <w:sz w:val="24"/>
        </w:rPr>
        <w:t xml:space="preserve">Минэкономразвития Чувашии вправе провести встречную проверку, запросив от администраций муниципальных округов Чувашской Республики, на территории которых осуществляется развозная торговля в отдаленных малочисленных населенных пунктах, информацию о фактически осуществленных выездах мобильных торговых объектов получателей субсидий согласно установленному соглашением графику.</w:t>
      </w:r>
    </w:p>
    <w:p>
      <w:pPr>
        <w:pStyle w:val="0"/>
        <w:spacing w:before="240" w:lineRule="auto"/>
        <w:ind w:firstLine="540"/>
        <w:jc w:val="both"/>
      </w:pPr>
      <w:r>
        <w:rPr>
          <w:sz w:val="24"/>
        </w:rPr>
        <w:t xml:space="preserve">В случае возникновения обстоятельств, препятствующих организации развозной торговли (дорожно-транспортное происшествие с участием мобильного торгового объекта, поломка мобильного торгового объекта, временные природно-климатические условия, временная нетрудоспособность продавца, водителя), получатель субсидии вправе обратиться с мотивированным предложением в Минэкономразвития Чувашии о пересмотре результата предоставления субсидии с приложением подтверждающих документов о возникновении таких обстоятельств. Результат предоставления субсидии, установленный соглашением, может быть пересмотрен не более одного раза в квартал.</w:t>
      </w:r>
    </w:p>
    <w:p>
      <w:pPr>
        <w:pStyle w:val="0"/>
        <w:spacing w:before="240" w:lineRule="auto"/>
        <w:ind w:firstLine="540"/>
        <w:jc w:val="both"/>
      </w:pPr>
      <w:r>
        <w:rPr>
          <w:sz w:val="24"/>
        </w:rPr>
        <w:t xml:space="preserve">Получатель субсидии несет ответственность за достоверность информации в отчете, предусмотренном настоящим пунктом, и своевременное его представление.</w:t>
      </w:r>
    </w:p>
    <w:p>
      <w:pPr>
        <w:pStyle w:val="0"/>
        <w:jc w:val="both"/>
      </w:pPr>
      <w:r>
        <w:rPr>
          <w:sz w:val="24"/>
        </w:rPr>
      </w:r>
    </w:p>
    <w:bookmarkStart w:id="309" w:name="P309"/>
    <w:bookmarkEnd w:id="309"/>
    <w:p>
      <w:pPr>
        <w:pStyle w:val="2"/>
        <w:outlineLvl w:val="1"/>
        <w:jc w:val="center"/>
      </w:pPr>
      <w:r>
        <w:rPr>
          <w:sz w:val="24"/>
        </w:rPr>
        <w:t xml:space="preserve">V. Порядок возврата средств субсидии</w:t>
      </w:r>
    </w:p>
    <w:p>
      <w:pPr>
        <w:pStyle w:val="0"/>
        <w:jc w:val="center"/>
      </w:pPr>
      <w:r>
        <w:rPr>
          <w:sz w:val="24"/>
        </w:rPr>
        <w:t xml:space="preserve">(в ред. </w:t>
      </w:r>
      <w:r>
        <w:rPr>
          <w:sz w:val="24"/>
        </w:rPr>
        <w:t xml:space="preserve">Постановления</w:t>
      </w:r>
      <w:r>
        <w:rPr>
          <w:sz w:val="24"/>
        </w:rPr>
        <w:t xml:space="preserve"> Кабинета Министров ЧР</w:t>
      </w:r>
    </w:p>
    <w:p>
      <w:pPr>
        <w:pStyle w:val="0"/>
        <w:jc w:val="center"/>
      </w:pPr>
      <w:r>
        <w:rPr>
          <w:sz w:val="24"/>
        </w:rPr>
        <w:t xml:space="preserve">от 08.04.2026 N 198)</w:t>
      </w:r>
    </w:p>
    <w:p>
      <w:pPr>
        <w:pStyle w:val="0"/>
        <w:jc w:val="both"/>
      </w:pPr>
      <w:r>
        <w:rPr>
          <w:sz w:val="24"/>
        </w:rPr>
      </w:r>
    </w:p>
    <w:bookmarkStart w:id="313" w:name="P313"/>
    <w:bookmarkEnd w:id="313"/>
    <w:p>
      <w:pPr>
        <w:pStyle w:val="0"/>
        <w:ind w:firstLine="540"/>
        <w:jc w:val="both"/>
      </w:pPr>
      <w:r>
        <w:rPr>
          <w:sz w:val="24"/>
        </w:rPr>
        <w:t xml:space="preserve">5.1. Возврат средств республиканского бюджета Чувашской Республики осуществляется:</w:t>
      </w:r>
    </w:p>
    <w:p>
      <w:pPr>
        <w:pStyle w:val="0"/>
        <w:spacing w:before="240" w:lineRule="auto"/>
        <w:ind w:firstLine="540"/>
        <w:jc w:val="both"/>
      </w:pPr>
      <w:r>
        <w:rPr>
          <w:sz w:val="24"/>
        </w:rPr>
        <w:t xml:space="preserve">в случае выявления фактов нарушения условий предоставления субсидии - в размере всей предоставленной суммы субсидии;</w:t>
      </w:r>
    </w:p>
    <w:p>
      <w:pPr>
        <w:pStyle w:val="0"/>
        <w:spacing w:before="240" w:lineRule="auto"/>
        <w:ind w:firstLine="540"/>
        <w:jc w:val="both"/>
      </w:pPr>
      <w:r>
        <w:rPr>
          <w:sz w:val="24"/>
        </w:rPr>
        <w:t xml:space="preserve">в случае недостижения значения результата предоставления субсидии, предусмотренного </w:t>
      </w:r>
      <w:hyperlink w:history="0" w:anchor="P301" w:tooltip="4.16. Результатом предоставления субсидии является количество выездов мобильных торговых объектов получателей субсидий в отдаленные малочисленные населенные пункты согласно графику, установленному соглашением.">
        <w:r>
          <w:rPr>
            <w:sz w:val="24"/>
            <w:color w:val="0000ff"/>
          </w:rPr>
          <w:t xml:space="preserve">пунктом 4.16</w:t>
        </w:r>
      </w:hyperlink>
      <w:r>
        <w:rPr>
          <w:sz w:val="24"/>
        </w:rPr>
        <w:t xml:space="preserve"> настоящих Правил, - в соответствии с </w:t>
      </w:r>
      <w:hyperlink w:history="0" w:anchor="P325" w:tooltip="5.3. В случае если получателем субсидии по состоянию на 31 декабря отчетного года допущены нарушения обязательств, предусмотренных соглашением в части достижения значения результата предоставления субсидии, предусмотренного пунктом 4.16 настоящих Правил, и по результатам года, следующего за отчетным годом, указанные нарушения не устранены, то средства субсидии подлежат возврату в республиканский бюджет Чувашской Республике в срок до 1 июня второго года, следующего за отчетным годом.">
        <w:r>
          <w:rPr>
            <w:sz w:val="24"/>
            <w:color w:val="0000ff"/>
          </w:rPr>
          <w:t xml:space="preserve">пунктом 5.3</w:t>
        </w:r>
      </w:hyperlink>
      <w:r>
        <w:rPr>
          <w:sz w:val="24"/>
        </w:rPr>
        <w:t xml:space="preserve"> настоящих Правил.</w:t>
      </w:r>
    </w:p>
    <w:p>
      <w:pPr>
        <w:pStyle w:val="0"/>
        <w:spacing w:before="240" w:lineRule="auto"/>
        <w:ind w:firstLine="540"/>
        <w:jc w:val="both"/>
      </w:pPr>
      <w:r>
        <w:rPr>
          <w:sz w:val="24"/>
        </w:rPr>
        <w:t xml:space="preserve">5.2. В случаях, установленных </w:t>
      </w:r>
      <w:hyperlink w:history="0" w:anchor="P313" w:tooltip="5.1. Возврат средств республиканского бюджета Чувашской Республики осуществляется:">
        <w:r>
          <w:rPr>
            <w:sz w:val="24"/>
            <w:color w:val="0000ff"/>
          </w:rPr>
          <w:t xml:space="preserve">пунктом 5.1</w:t>
        </w:r>
      </w:hyperlink>
      <w:r>
        <w:rPr>
          <w:sz w:val="24"/>
        </w:rPr>
        <w:t xml:space="preserve"> настоящих Правил, а также в случае неисполнения или ненадлежащего исполнения получателем субсидии обязательств по соглашению средства субсидии подлежат возврату в республиканский бюджет Чувашской Республики в следующем порядке.</w:t>
      </w:r>
    </w:p>
    <w:p>
      <w:pPr>
        <w:pStyle w:val="0"/>
        <w:jc w:val="both"/>
      </w:pPr>
      <w:r>
        <w:rPr>
          <w:sz w:val="24"/>
        </w:rPr>
        <w:t xml:space="preserve">(в ред. </w:t>
      </w:r>
      <w:r>
        <w:rPr>
          <w:sz w:val="24"/>
        </w:rPr>
        <w:t xml:space="preserve">Постановления</w:t>
      </w:r>
      <w:r>
        <w:rPr>
          <w:sz w:val="24"/>
        </w:rPr>
        <w:t xml:space="preserve"> Кабинета Министров ЧР от 08.04.2026 N 198)</w:t>
      </w:r>
    </w:p>
    <w:p>
      <w:pPr>
        <w:pStyle w:val="0"/>
        <w:spacing w:before="240" w:lineRule="auto"/>
        <w:ind w:firstLine="540"/>
        <w:jc w:val="both"/>
      </w:pPr>
      <w:r>
        <w:rPr>
          <w:sz w:val="24"/>
        </w:rPr>
        <w:t xml:space="preserve">Минэкономразвития Чувашии в течение пяти рабочих дней со дня составления акта о нарушении условий соглашения (далее - акт) или получения от органов государственного финансового контроля сведений об установлении фактов нарушений, выявленных ими при проведении проверок в соответствии со </w:t>
      </w:r>
      <w:r>
        <w:rPr>
          <w:sz w:val="24"/>
        </w:rPr>
        <w:t xml:space="preserve">статьями 268.1</w:t>
      </w:r>
      <w:r>
        <w:rPr>
          <w:sz w:val="24"/>
        </w:rPr>
        <w:t xml:space="preserve"> и </w:t>
      </w:r>
      <w:r>
        <w:rPr>
          <w:sz w:val="24"/>
        </w:rPr>
        <w:t xml:space="preserve">269.2</w:t>
      </w:r>
      <w:r>
        <w:rPr>
          <w:sz w:val="24"/>
        </w:rPr>
        <w:t xml:space="preserve"> Бюджетного кодекса Российской Федерации, направляет получателю субсидии уведомление о выявленных нарушениях, в котором указываются нарушения и сроки их устранения.</w:t>
      </w:r>
    </w:p>
    <w:p>
      <w:pPr>
        <w:pStyle w:val="0"/>
        <w:spacing w:before="240" w:lineRule="auto"/>
        <w:ind w:firstLine="540"/>
        <w:jc w:val="both"/>
      </w:pPr>
      <w:r>
        <w:rPr>
          <w:sz w:val="24"/>
        </w:rPr>
        <w:t xml:space="preserve">В случае неустранения получателем субсидии нарушений в сроки, указанные в уведомлении о выявленных нарушениях, Минэкономразвития Чувашии в течение пяти рабочих дней направляет получателю субсидии уведомление о возврате средств субсидии, содержащее сумму, сроки, код бюджетной классификации Российской Федерации, по которому должен быть осуществлен возврат средств субсидии, реквизиты лицевого счета, на который должны быть перечислены средства.</w:t>
      </w:r>
    </w:p>
    <w:p>
      <w:pPr>
        <w:pStyle w:val="0"/>
        <w:jc w:val="both"/>
      </w:pPr>
      <w:r>
        <w:rPr>
          <w:sz w:val="24"/>
        </w:rPr>
        <w:t xml:space="preserve">(в ред. </w:t>
      </w:r>
      <w:r>
        <w:rPr>
          <w:sz w:val="24"/>
        </w:rPr>
        <w:t xml:space="preserve">Постановления</w:t>
      </w:r>
      <w:r>
        <w:rPr>
          <w:sz w:val="24"/>
        </w:rPr>
        <w:t xml:space="preserve"> Кабинета Министров ЧР от 08.04.2026 N 198)</w:t>
      </w:r>
    </w:p>
    <w:p>
      <w:pPr>
        <w:pStyle w:val="0"/>
        <w:spacing w:before="240" w:lineRule="auto"/>
        <w:ind w:firstLine="540"/>
        <w:jc w:val="both"/>
      </w:pPr>
      <w:r>
        <w:rPr>
          <w:sz w:val="24"/>
        </w:rPr>
        <w:t xml:space="preserve">Уведомление о выявленных нарушениях, уведомление о возврате средств субсидии направляются заказным письмом в адрес получателя субсидии, указанный в соглашении.</w:t>
      </w:r>
    </w:p>
    <w:p>
      <w:pPr>
        <w:pStyle w:val="0"/>
        <w:jc w:val="both"/>
      </w:pPr>
      <w:r>
        <w:rPr>
          <w:sz w:val="24"/>
        </w:rPr>
        <w:t xml:space="preserve">(в ред. </w:t>
      </w:r>
      <w:r>
        <w:rPr>
          <w:sz w:val="24"/>
        </w:rPr>
        <w:t xml:space="preserve">Постановления</w:t>
      </w:r>
      <w:r>
        <w:rPr>
          <w:sz w:val="24"/>
        </w:rPr>
        <w:t xml:space="preserve"> Кабинета Министров ЧР от 08.04.2026 N 198)</w:t>
      </w:r>
    </w:p>
    <w:p>
      <w:pPr>
        <w:pStyle w:val="0"/>
        <w:spacing w:before="240" w:lineRule="auto"/>
        <w:ind w:firstLine="540"/>
        <w:jc w:val="both"/>
      </w:pPr>
      <w:r>
        <w:rPr>
          <w:sz w:val="24"/>
        </w:rPr>
        <w:t xml:space="preserve">Получатель субсидии обязан осуществить возврат средств субсидии в течение 30 календарных дней со дня получения уведомления о возврате средств субсидии.</w:t>
      </w:r>
    </w:p>
    <w:p>
      <w:pPr>
        <w:pStyle w:val="0"/>
        <w:jc w:val="both"/>
      </w:pPr>
      <w:r>
        <w:rPr>
          <w:sz w:val="24"/>
        </w:rPr>
        <w:t xml:space="preserve">(в ред. </w:t>
      </w:r>
      <w:r>
        <w:rPr>
          <w:sz w:val="24"/>
        </w:rPr>
        <w:t xml:space="preserve">Постановления</w:t>
      </w:r>
      <w:r>
        <w:rPr>
          <w:sz w:val="24"/>
        </w:rPr>
        <w:t xml:space="preserve"> Кабинета Министров ЧР от 08.04.2026 N 198)</w:t>
      </w:r>
    </w:p>
    <w:bookmarkStart w:id="325" w:name="P325"/>
    <w:bookmarkEnd w:id="325"/>
    <w:p>
      <w:pPr>
        <w:pStyle w:val="0"/>
        <w:spacing w:before="240" w:lineRule="auto"/>
        <w:ind w:firstLine="540"/>
        <w:jc w:val="both"/>
      </w:pPr>
      <w:r>
        <w:rPr>
          <w:sz w:val="24"/>
        </w:rPr>
        <w:t xml:space="preserve">5.3. В случае если получателем субсидии по состоянию на 31 декабря отчетного года допущены нарушения обязательств, предусмотренных соглашением в части достижения значения результата предоставления субсидии, предусмотренного </w:t>
      </w:r>
      <w:hyperlink w:history="0" w:anchor="P301" w:tooltip="4.16. Результатом предоставления субсидии является количество выездов мобильных торговых объектов получателей субсидий в отдаленные малочисленные населенные пункты согласно графику, установленному соглашением.">
        <w:r>
          <w:rPr>
            <w:sz w:val="24"/>
            <w:color w:val="0000ff"/>
          </w:rPr>
          <w:t xml:space="preserve">пунктом 4.16</w:t>
        </w:r>
      </w:hyperlink>
      <w:r>
        <w:rPr>
          <w:sz w:val="24"/>
        </w:rPr>
        <w:t xml:space="preserve"> настоящих Правил, и по результатам года, следующего за отчетным годом, указанные нарушения не устранены, то средства субсидии подлежат возврату в республиканский бюджет Чувашской Республике в срок до 1 июня второго года, следующего за отчетным годом.</w:t>
      </w:r>
    </w:p>
    <w:p>
      <w:pPr>
        <w:pStyle w:val="0"/>
        <w:jc w:val="both"/>
      </w:pPr>
      <w:r>
        <w:rPr>
          <w:sz w:val="24"/>
        </w:rPr>
        <w:t xml:space="preserve">(в ред. </w:t>
      </w:r>
      <w:r>
        <w:rPr>
          <w:sz w:val="24"/>
        </w:rPr>
        <w:t xml:space="preserve">Постановления</w:t>
      </w:r>
      <w:r>
        <w:rPr>
          <w:sz w:val="24"/>
        </w:rPr>
        <w:t xml:space="preserve"> Кабинета Министров ЧР от 08.04.2026 N 198)</w:t>
      </w:r>
    </w:p>
    <w:p>
      <w:pPr>
        <w:pStyle w:val="0"/>
        <w:spacing w:before="240" w:lineRule="auto"/>
        <w:ind w:firstLine="540"/>
        <w:jc w:val="both"/>
      </w:pPr>
      <w:r>
        <w:rPr>
          <w:sz w:val="24"/>
        </w:rPr>
        <w:t xml:space="preserve">Объем средств, подлежащих возврату в республиканский бюджет Чувашской Республики (V</w:t>
      </w:r>
      <w:r>
        <w:rPr>
          <w:sz w:val="24"/>
          <w:vertAlign w:val="subscript"/>
        </w:rPr>
        <w:t xml:space="preserve">возврата</w:t>
      </w:r>
      <w:r>
        <w:rPr>
          <w:sz w:val="24"/>
        </w:rPr>
        <w:t xml:space="preserve">), рассчитывается по формуле</w:t>
      </w:r>
    </w:p>
    <w:p>
      <w:pPr>
        <w:pStyle w:val="0"/>
        <w:jc w:val="both"/>
      </w:pPr>
      <w:r>
        <w:rPr>
          <w:sz w:val="24"/>
        </w:rPr>
      </w:r>
    </w:p>
    <w:p>
      <w:pPr>
        <w:pStyle w:val="0"/>
        <w:ind w:firstLine="540"/>
        <w:jc w:val="both"/>
      </w:pPr>
      <w:r>
        <w:rPr>
          <w:sz w:val="24"/>
        </w:rPr>
        <w:t xml:space="preserve">V</w:t>
      </w:r>
      <w:r>
        <w:rPr>
          <w:sz w:val="24"/>
          <w:vertAlign w:val="subscript"/>
        </w:rPr>
        <w:t xml:space="preserve">возврата</w:t>
      </w:r>
      <w:r>
        <w:rPr>
          <w:sz w:val="24"/>
        </w:rPr>
        <w:t xml:space="preserve"> = S</w:t>
      </w:r>
      <w:r>
        <w:rPr>
          <w:sz w:val="24"/>
          <w:vertAlign w:val="subscript"/>
        </w:rPr>
        <w:t xml:space="preserve">субсидии</w:t>
      </w:r>
      <w:r>
        <w:rPr>
          <w:sz w:val="24"/>
        </w:rPr>
        <w:t xml:space="preserve"> x D,</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V</w:t>
      </w:r>
      <w:r>
        <w:rPr>
          <w:sz w:val="24"/>
          <w:vertAlign w:val="subscript"/>
        </w:rPr>
        <w:t xml:space="preserve">возврата</w:t>
      </w:r>
      <w:r>
        <w:rPr>
          <w:sz w:val="24"/>
        </w:rPr>
        <w:t xml:space="preserve"> - объем средств, подлежащих возврату в республиканский бюджет Чувашской Республики;</w:t>
      </w:r>
    </w:p>
    <w:p>
      <w:pPr>
        <w:pStyle w:val="0"/>
        <w:spacing w:before="240" w:lineRule="auto"/>
        <w:ind w:firstLine="540"/>
        <w:jc w:val="both"/>
      </w:pPr>
      <w:r>
        <w:rPr>
          <w:sz w:val="24"/>
        </w:rPr>
        <w:t xml:space="preserve">S</w:t>
      </w:r>
      <w:r>
        <w:rPr>
          <w:sz w:val="24"/>
          <w:vertAlign w:val="subscript"/>
        </w:rPr>
        <w:t xml:space="preserve">субсидии</w:t>
      </w:r>
      <w:r>
        <w:rPr>
          <w:sz w:val="24"/>
        </w:rPr>
        <w:t xml:space="preserve"> - сумма субсидии, предоставленной получателю субсидии в отчетном финансовом году;</w:t>
      </w:r>
    </w:p>
    <w:p>
      <w:pPr>
        <w:pStyle w:val="0"/>
        <w:spacing w:before="240" w:lineRule="auto"/>
        <w:ind w:firstLine="540"/>
        <w:jc w:val="both"/>
      </w:pPr>
      <w:r>
        <w:rPr>
          <w:sz w:val="24"/>
        </w:rPr>
        <w:t xml:space="preserve">D - индекс, отражающий уровень недостижения значения результата предоставления субсидии, который рассчитывается по формуле</w:t>
      </w:r>
    </w:p>
    <w:p>
      <w:pPr>
        <w:pStyle w:val="0"/>
        <w:jc w:val="both"/>
      </w:pPr>
      <w:r>
        <w:rPr>
          <w:sz w:val="24"/>
        </w:rPr>
      </w:r>
    </w:p>
    <w:p>
      <w:pPr>
        <w:pStyle w:val="0"/>
        <w:ind w:firstLine="540"/>
        <w:jc w:val="both"/>
      </w:pPr>
      <w:r>
        <w:rPr>
          <w:sz w:val="24"/>
        </w:rPr>
        <w:t xml:space="preserve">D = 1 - F / P,</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F - фактически достигнутое значение результата предоставления субсидии на отчетную дату;</w:t>
      </w:r>
    </w:p>
    <w:p>
      <w:pPr>
        <w:pStyle w:val="0"/>
        <w:spacing w:before="240" w:lineRule="auto"/>
        <w:ind w:firstLine="540"/>
        <w:jc w:val="both"/>
      </w:pPr>
      <w:r>
        <w:rPr>
          <w:sz w:val="24"/>
        </w:rPr>
        <w:t xml:space="preserve">P - плановое значение результата предоставления субсидии, установленное соглашением.</w:t>
      </w:r>
    </w:p>
    <w:p>
      <w:pPr>
        <w:pStyle w:val="0"/>
        <w:spacing w:before="240" w:lineRule="auto"/>
        <w:ind w:firstLine="540"/>
        <w:jc w:val="both"/>
      </w:pPr>
      <w:r>
        <w:rPr>
          <w:sz w:val="24"/>
        </w:rPr>
        <w:t xml:space="preserve">При расчете объема средств, подлежащих возврату в республиканский бюджет Чувашской Республики (V</w:t>
      </w:r>
      <w:r>
        <w:rPr>
          <w:sz w:val="24"/>
          <w:vertAlign w:val="subscript"/>
        </w:rPr>
        <w:t xml:space="preserve">возврата</w:t>
      </w:r>
      <w:r>
        <w:rPr>
          <w:sz w:val="24"/>
        </w:rPr>
        <w:t xml:space="preserve">), используются только положительные значения индекса, отражающего уровень недостижения значения результата предоставления субсидии (D).</w:t>
      </w:r>
    </w:p>
    <w:p>
      <w:pPr>
        <w:pStyle w:val="0"/>
        <w:spacing w:before="240" w:lineRule="auto"/>
        <w:ind w:firstLine="540"/>
        <w:jc w:val="both"/>
      </w:pPr>
      <w:r>
        <w:rPr>
          <w:sz w:val="24"/>
        </w:rPr>
        <w:t xml:space="preserve">Основанием для освобождения получателя субсидии от применения мер ответственности, предусмотренных настоящим пунктом, является документально подтвержденное наступление обстоятельств непреодолимой силы, вследствие возникновения которых соблюдение условий предоставления субсидии, в том числе исполнение обязательств по достижению значения результата предоставления субсидии, является невозможным.</w:t>
      </w:r>
    </w:p>
    <w:p>
      <w:pPr>
        <w:pStyle w:val="0"/>
        <w:spacing w:before="240" w:lineRule="auto"/>
        <w:ind w:firstLine="540"/>
        <w:jc w:val="both"/>
      </w:pPr>
      <w:r>
        <w:rPr>
          <w:sz w:val="24"/>
        </w:rPr>
        <w:t xml:space="preserve">Обстоятельством непреодолимой силы является установление регионального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pPr>
        <w:pStyle w:val="0"/>
        <w:spacing w:before="240" w:lineRule="auto"/>
        <w:ind w:firstLine="540"/>
        <w:jc w:val="both"/>
      </w:pPr>
      <w:r>
        <w:rPr>
          <w:sz w:val="24"/>
        </w:rPr>
        <w:t xml:space="preserve">Документы, подтверждающие наступление обстоятельств непреодолимой силы, препятствующих исполнению соответствующих обязательств, представляются получателем субсидии вместе с отчетом о достижении значения результата предоставления субсидии и характеристики результата.</w:t>
      </w:r>
    </w:p>
    <w:p>
      <w:pPr>
        <w:pStyle w:val="0"/>
        <w:spacing w:before="240" w:lineRule="auto"/>
        <w:ind w:firstLine="540"/>
        <w:jc w:val="both"/>
      </w:pPr>
      <w:r>
        <w:rPr>
          <w:sz w:val="24"/>
        </w:rPr>
        <w:t xml:space="preserve">5.4. В случае если получатель субсидии не возвращает бюджетные средства, полученные в виде субсидии, в республиканский бюджет Чувашской Республики в установленные сроки или отказывается от добровольного возврата указанных средств, они взыскиваются в судебном порядке. Получатель субсидии в дальнейшем лишается права на получение субсидии из республиканского бюджета Чувашской Республики.</w:t>
      </w:r>
    </w:p>
    <w:p>
      <w:pPr>
        <w:pStyle w:val="0"/>
        <w:spacing w:before="240" w:lineRule="auto"/>
        <w:ind w:firstLine="540"/>
        <w:jc w:val="both"/>
      </w:pPr>
      <w:r>
        <w:rPr>
          <w:sz w:val="24"/>
        </w:rPr>
        <w:t xml:space="preserve">5.5. В случае выявления фактов нарушения иных обязательств, предусмотренных соглашением, получатель субсидии уплачивает в республиканский бюджет Чувашской Республики штраф в размере 0,1 процента от суммы субсидии за каждый выявленный факт нарушения.</w:t>
      </w:r>
    </w:p>
    <w:p>
      <w:pPr>
        <w:pStyle w:val="0"/>
        <w:jc w:val="both"/>
      </w:pPr>
      <w:r>
        <w:rPr>
          <w:sz w:val="24"/>
        </w:rPr>
      </w:r>
    </w:p>
    <w:p>
      <w:pPr>
        <w:pStyle w:val="2"/>
        <w:outlineLvl w:val="1"/>
        <w:jc w:val="center"/>
      </w:pPr>
      <w:r>
        <w:rPr>
          <w:sz w:val="24"/>
        </w:rPr>
        <w:t xml:space="preserve">VI. Осуществление контроля (мониторинга)</w:t>
      </w:r>
    </w:p>
    <w:p>
      <w:pPr>
        <w:pStyle w:val="0"/>
        <w:jc w:val="both"/>
      </w:pPr>
      <w:r>
        <w:rPr>
          <w:sz w:val="24"/>
        </w:rPr>
      </w:r>
    </w:p>
    <w:p>
      <w:pPr>
        <w:pStyle w:val="0"/>
        <w:ind w:firstLine="540"/>
        <w:jc w:val="both"/>
      </w:pPr>
      <w:r>
        <w:rPr>
          <w:sz w:val="24"/>
        </w:rPr>
        <w:t xml:space="preserve">Минэкономразвития Чувашии осуществляет проверку соблюдения получателем субсидии порядка и условий предоставления субсидии, в том числе в части достижения результата предоставления субсидии.</w:t>
      </w:r>
    </w:p>
    <w:p>
      <w:pPr>
        <w:pStyle w:val="0"/>
        <w:spacing w:before="240" w:lineRule="auto"/>
        <w:ind w:firstLine="540"/>
        <w:jc w:val="both"/>
      </w:pPr>
      <w:r>
        <w:rPr>
          <w:sz w:val="24"/>
        </w:rPr>
        <w:t xml:space="preserve">Органы государственного финансового контроля осуществляют проверку в соответствии со </w:t>
      </w:r>
      <w:r>
        <w:rPr>
          <w:sz w:val="24"/>
        </w:rPr>
        <w:t xml:space="preserve">статьями 268.1</w:t>
      </w:r>
      <w:r>
        <w:rPr>
          <w:sz w:val="24"/>
        </w:rPr>
        <w:t xml:space="preserve"> и </w:t>
      </w:r>
      <w:r>
        <w:rPr>
          <w:sz w:val="24"/>
        </w:rPr>
        <w:t xml:space="preserve">269.2</w:t>
      </w:r>
      <w:r>
        <w:rPr>
          <w:sz w:val="24"/>
        </w:rPr>
        <w:t xml:space="preserve"> Бюджетного кодекса Российской Федерации.</w:t>
      </w:r>
    </w:p>
    <w:p>
      <w:pPr>
        <w:pStyle w:val="0"/>
        <w:spacing w:before="240" w:lineRule="auto"/>
        <w:ind w:firstLine="540"/>
        <w:jc w:val="both"/>
      </w:pPr>
      <w:r>
        <w:rPr>
          <w:sz w:val="24"/>
        </w:rPr>
        <w:t xml:space="preserve">В случае выявления по итогам проверки, проведенной Минэкономразвития Чувашии и (или) органами государственного финансового контроля факта нарушения получателем субсидии условий предоставления субсидии, в том числе в части достижения значения результата предоставления субсидии, который установлен настоящими Правилами, возврат средств субсидии производится в порядке, установленном </w:t>
      </w:r>
      <w:hyperlink w:history="0" w:anchor="P309" w:tooltip="V. Порядок возврата средств субсидии">
        <w:r>
          <w:rPr>
            <w:sz w:val="24"/>
            <w:color w:val="0000ff"/>
          </w:rPr>
          <w:t xml:space="preserve">разделом V</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Кабинета Министров ЧР от 08.04.2026 N 198)</w:t>
      </w:r>
    </w:p>
    <w:p>
      <w:pPr>
        <w:pStyle w:val="0"/>
        <w:spacing w:before="240" w:lineRule="auto"/>
        <w:ind w:firstLine="540"/>
        <w:jc w:val="both"/>
      </w:pPr>
      <w:r>
        <w:rPr>
          <w:sz w:val="24"/>
        </w:rPr>
        <w:t xml:space="preserve">Минэкономразвития Чувашии проводит мониторинг достижения значения результата предоставления субсидии, определенного соглашением, и события, отражающего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порядком проведения мониторинга достижения результатов предоставления субсидии, установленным Минфином России.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Правилам предоставления</w:t>
      </w:r>
    </w:p>
    <w:p>
      <w:pPr>
        <w:pStyle w:val="0"/>
        <w:jc w:val="right"/>
      </w:pPr>
      <w:r>
        <w:rPr>
          <w:sz w:val="24"/>
        </w:rPr>
        <w:t xml:space="preserve">из республиканского бюджета</w:t>
      </w:r>
    </w:p>
    <w:p>
      <w:pPr>
        <w:pStyle w:val="0"/>
        <w:jc w:val="right"/>
      </w:pPr>
      <w:r>
        <w:rPr>
          <w:sz w:val="24"/>
        </w:rPr>
        <w:t xml:space="preserve">Чувашской Республики субсидий</w:t>
      </w:r>
    </w:p>
    <w:p>
      <w:pPr>
        <w:pStyle w:val="0"/>
        <w:jc w:val="right"/>
      </w:pPr>
      <w:r>
        <w:rPr>
          <w:sz w:val="24"/>
        </w:rPr>
        <w:t xml:space="preserve">на возмещение части затрат</w:t>
      </w:r>
    </w:p>
    <w:p>
      <w:pPr>
        <w:pStyle w:val="0"/>
        <w:jc w:val="right"/>
      </w:pPr>
      <w:r>
        <w:rPr>
          <w:sz w:val="24"/>
        </w:rPr>
        <w:t xml:space="preserve">на приобретение мобильных</w:t>
      </w:r>
    </w:p>
    <w:p>
      <w:pPr>
        <w:pStyle w:val="0"/>
        <w:jc w:val="right"/>
      </w:pPr>
      <w:r>
        <w:rPr>
          <w:sz w:val="24"/>
        </w:rPr>
        <w:t xml:space="preserve">торговых объектов</w:t>
      </w:r>
    </w:p>
    <w:p>
      <w:pPr>
        <w:pStyle w:val="0"/>
        <w:jc w:val="both"/>
      </w:pPr>
      <w:r>
        <w:rPr>
          <w:sz w:val="24"/>
        </w:rPr>
      </w:r>
    </w:p>
    <w:bookmarkStart w:id="368" w:name="P368"/>
    <w:bookmarkEnd w:id="368"/>
    <w:p>
      <w:pPr>
        <w:pStyle w:val="2"/>
        <w:jc w:val="center"/>
      </w:pPr>
      <w:r>
        <w:rPr>
          <w:sz w:val="24"/>
        </w:rPr>
        <w:t xml:space="preserve">ПЕРЕЧЕНЬ</w:t>
      </w:r>
    </w:p>
    <w:p>
      <w:pPr>
        <w:pStyle w:val="2"/>
        <w:jc w:val="center"/>
      </w:pPr>
      <w:r>
        <w:rPr>
          <w:sz w:val="24"/>
        </w:rPr>
        <w:t xml:space="preserve">ОТДАЛЕННЫХ МАЛОЧИСЛЕННЫХ НАСЕЛЕННЫХ ПУНКТОВ</w:t>
      </w:r>
    </w:p>
    <w:p>
      <w:pPr>
        <w:pStyle w:val="2"/>
        <w:jc w:val="center"/>
      </w:pPr>
      <w:r>
        <w:rPr>
          <w:sz w:val="24"/>
        </w:rPr>
        <w:t xml:space="preserve">ЧУВАШСКОЙ РЕСПУБЛИКИ, В КОТОРЫХ НЕОБХОДИМА ОРГАНИЗАЦИЯ</w:t>
      </w:r>
    </w:p>
    <w:p>
      <w:pPr>
        <w:pStyle w:val="2"/>
        <w:jc w:val="center"/>
      </w:pPr>
      <w:r>
        <w:rPr>
          <w:sz w:val="24"/>
        </w:rPr>
        <w:t xml:space="preserve">РАЗВОЗНОЙ ТОРГОВЛИ СОЦИАЛЬНО ЗНАЧИМЫМИ ПРОДОВОЛЬСТВЕННЫМИ</w:t>
      </w:r>
    </w:p>
    <w:p>
      <w:pPr>
        <w:pStyle w:val="2"/>
        <w:jc w:val="center"/>
      </w:pPr>
      <w:r>
        <w:rPr>
          <w:sz w:val="24"/>
        </w:rPr>
        <w:t xml:space="preserve">ТОВАРАМИ ПЕРВОЙ НЕОБХОДИМОСТИ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Кабинета Министров ЧР от 08.04.2026 N 198)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2"/>
        <w:jc w:val="center"/>
      </w:pPr>
      <w:r>
        <w:rPr>
          <w:sz w:val="24"/>
        </w:rPr>
        <w:t xml:space="preserve">Алатырский муниципальный округ Чувашской Республики</w:t>
      </w:r>
    </w:p>
    <w:p>
      <w:pPr>
        <w:pStyle w:val="0"/>
        <w:jc w:val="both"/>
      </w:pPr>
      <w:r>
        <w:rPr>
          <w:sz w:val="24"/>
        </w:rPr>
      </w:r>
    </w:p>
    <w:p>
      <w:pPr>
        <w:pStyle w:val="0"/>
        <w:ind w:firstLine="540"/>
        <w:jc w:val="both"/>
      </w:pPr>
      <w:r>
        <w:rPr>
          <w:sz w:val="24"/>
        </w:rPr>
        <w:t xml:space="preserve">поселок Алтышево-Люльский</w:t>
      </w:r>
    </w:p>
    <w:p>
      <w:pPr>
        <w:pStyle w:val="0"/>
        <w:spacing w:before="240" w:lineRule="auto"/>
        <w:ind w:firstLine="540"/>
        <w:jc w:val="both"/>
      </w:pPr>
      <w:r>
        <w:rPr>
          <w:sz w:val="24"/>
        </w:rPr>
        <w:t xml:space="preserve">поселок Баевка</w:t>
      </w:r>
    </w:p>
    <w:p>
      <w:pPr>
        <w:pStyle w:val="0"/>
        <w:spacing w:before="240" w:lineRule="auto"/>
        <w:ind w:firstLine="540"/>
        <w:jc w:val="both"/>
      </w:pPr>
      <w:r>
        <w:rPr>
          <w:sz w:val="24"/>
        </w:rPr>
        <w:t xml:space="preserve">поселок Березовая Поляна</w:t>
      </w:r>
    </w:p>
    <w:p>
      <w:pPr>
        <w:pStyle w:val="0"/>
        <w:spacing w:before="240" w:lineRule="auto"/>
        <w:ind w:firstLine="540"/>
        <w:jc w:val="both"/>
      </w:pPr>
      <w:r>
        <w:rPr>
          <w:sz w:val="24"/>
        </w:rPr>
        <w:t xml:space="preserve">поселок Искра</w:t>
      </w:r>
    </w:p>
    <w:p>
      <w:pPr>
        <w:pStyle w:val="0"/>
        <w:spacing w:before="240" w:lineRule="auto"/>
        <w:ind w:firstLine="540"/>
        <w:jc w:val="both"/>
      </w:pPr>
      <w:r>
        <w:rPr>
          <w:sz w:val="24"/>
        </w:rPr>
        <w:t xml:space="preserve">поселок Низовка</w:t>
      </w:r>
    </w:p>
    <w:p>
      <w:pPr>
        <w:pStyle w:val="0"/>
        <w:spacing w:before="240" w:lineRule="auto"/>
        <w:ind w:firstLine="540"/>
        <w:jc w:val="both"/>
      </w:pPr>
      <w:r>
        <w:rPr>
          <w:sz w:val="24"/>
        </w:rPr>
        <w:t xml:space="preserve">поселок Полукиря</w:t>
      </w:r>
    </w:p>
    <w:p>
      <w:pPr>
        <w:pStyle w:val="0"/>
        <w:spacing w:before="240" w:lineRule="auto"/>
        <w:ind w:firstLine="540"/>
        <w:jc w:val="both"/>
      </w:pPr>
      <w:r>
        <w:rPr>
          <w:sz w:val="24"/>
        </w:rPr>
        <w:t xml:space="preserve">поселок Сальный</w:t>
      </w:r>
    </w:p>
    <w:p>
      <w:pPr>
        <w:pStyle w:val="0"/>
        <w:spacing w:before="240" w:lineRule="auto"/>
        <w:ind w:firstLine="540"/>
        <w:jc w:val="both"/>
      </w:pPr>
      <w:r>
        <w:rPr>
          <w:sz w:val="24"/>
        </w:rPr>
        <w:t xml:space="preserve">поселок Санаторный</w:t>
      </w:r>
    </w:p>
    <w:p>
      <w:pPr>
        <w:pStyle w:val="0"/>
        <w:jc w:val="both"/>
      </w:pPr>
      <w:r>
        <w:rPr>
          <w:sz w:val="24"/>
        </w:rPr>
      </w:r>
    </w:p>
    <w:p>
      <w:pPr>
        <w:pStyle w:val="2"/>
        <w:outlineLvl w:val="2"/>
        <w:jc w:val="center"/>
      </w:pPr>
      <w:r>
        <w:rPr>
          <w:sz w:val="24"/>
        </w:rPr>
        <w:t xml:space="preserve">Вурнарский муниципальный округ Чувашской Республики</w:t>
      </w:r>
    </w:p>
    <w:p>
      <w:pPr>
        <w:pStyle w:val="0"/>
        <w:jc w:val="both"/>
      </w:pPr>
      <w:r>
        <w:rPr>
          <w:sz w:val="24"/>
        </w:rPr>
      </w:r>
    </w:p>
    <w:p>
      <w:pPr>
        <w:pStyle w:val="0"/>
        <w:ind w:firstLine="540"/>
        <w:jc w:val="both"/>
      </w:pPr>
      <w:r>
        <w:rPr>
          <w:sz w:val="24"/>
        </w:rPr>
        <w:t xml:space="preserve">деревня Авруй</w:t>
      </w:r>
    </w:p>
    <w:p>
      <w:pPr>
        <w:pStyle w:val="0"/>
        <w:spacing w:before="240" w:lineRule="auto"/>
        <w:ind w:firstLine="540"/>
        <w:jc w:val="both"/>
      </w:pPr>
      <w:r>
        <w:rPr>
          <w:sz w:val="24"/>
        </w:rPr>
        <w:t xml:space="preserve">деревня Сявалкас-Хирпоси</w:t>
      </w:r>
    </w:p>
    <w:p>
      <w:pPr>
        <w:pStyle w:val="0"/>
        <w:spacing w:before="240" w:lineRule="auto"/>
        <w:ind w:firstLine="540"/>
        <w:jc w:val="both"/>
      </w:pPr>
      <w:r>
        <w:rPr>
          <w:sz w:val="24"/>
        </w:rPr>
        <w:t xml:space="preserve">деревня Тюлюкасы</w:t>
      </w:r>
    </w:p>
    <w:p>
      <w:pPr>
        <w:pStyle w:val="0"/>
        <w:spacing w:before="240" w:lineRule="auto"/>
        <w:ind w:firstLine="540"/>
        <w:jc w:val="both"/>
      </w:pPr>
      <w:r>
        <w:rPr>
          <w:sz w:val="24"/>
        </w:rPr>
        <w:t xml:space="preserve">деревня Тюмбеки</w:t>
      </w:r>
    </w:p>
    <w:p>
      <w:pPr>
        <w:pStyle w:val="0"/>
        <w:jc w:val="both"/>
      </w:pPr>
      <w:r>
        <w:rPr>
          <w:sz w:val="24"/>
        </w:rPr>
      </w:r>
    </w:p>
    <w:p>
      <w:pPr>
        <w:pStyle w:val="2"/>
        <w:outlineLvl w:val="2"/>
        <w:jc w:val="center"/>
      </w:pPr>
      <w:r>
        <w:rPr>
          <w:sz w:val="24"/>
        </w:rPr>
        <w:t xml:space="preserve">Ибресинский муниципальный округ Чувашской Республики</w:t>
      </w:r>
    </w:p>
    <w:p>
      <w:pPr>
        <w:pStyle w:val="0"/>
        <w:jc w:val="both"/>
      </w:pPr>
      <w:r>
        <w:rPr>
          <w:sz w:val="24"/>
        </w:rPr>
      </w:r>
    </w:p>
    <w:p>
      <w:pPr>
        <w:pStyle w:val="0"/>
        <w:ind w:firstLine="540"/>
        <w:jc w:val="both"/>
      </w:pPr>
      <w:r>
        <w:rPr>
          <w:sz w:val="24"/>
        </w:rPr>
        <w:t xml:space="preserve">деревня Шибегечи</w:t>
      </w:r>
    </w:p>
    <w:p>
      <w:pPr>
        <w:pStyle w:val="0"/>
        <w:spacing w:before="240" w:lineRule="auto"/>
        <w:ind w:firstLine="540"/>
        <w:jc w:val="both"/>
      </w:pPr>
      <w:r>
        <w:rPr>
          <w:sz w:val="24"/>
        </w:rPr>
        <w:t xml:space="preserve">деревня Шоркасы</w:t>
      </w:r>
    </w:p>
    <w:p>
      <w:pPr>
        <w:pStyle w:val="0"/>
        <w:spacing w:before="240" w:lineRule="auto"/>
        <w:ind w:firstLine="540"/>
        <w:jc w:val="both"/>
      </w:pPr>
      <w:r>
        <w:rPr>
          <w:sz w:val="24"/>
        </w:rPr>
        <w:t xml:space="preserve">поселок Калиновка</w:t>
      </w:r>
    </w:p>
    <w:p>
      <w:pPr>
        <w:pStyle w:val="0"/>
        <w:spacing w:before="240" w:lineRule="auto"/>
        <w:ind w:firstLine="540"/>
        <w:jc w:val="both"/>
      </w:pPr>
      <w:r>
        <w:rPr>
          <w:sz w:val="24"/>
        </w:rPr>
        <w:t xml:space="preserve">поселок Ленино</w:t>
      </w:r>
    </w:p>
    <w:p>
      <w:pPr>
        <w:pStyle w:val="0"/>
        <w:spacing w:before="240" w:lineRule="auto"/>
        <w:ind w:firstLine="540"/>
        <w:jc w:val="both"/>
      </w:pPr>
      <w:r>
        <w:rPr>
          <w:sz w:val="24"/>
        </w:rPr>
        <w:t xml:space="preserve">поселок Мирный</w:t>
      </w:r>
    </w:p>
    <w:p>
      <w:pPr>
        <w:pStyle w:val="0"/>
        <w:spacing w:before="240" w:lineRule="auto"/>
        <w:ind w:firstLine="540"/>
        <w:jc w:val="both"/>
      </w:pPr>
      <w:r>
        <w:rPr>
          <w:sz w:val="24"/>
        </w:rPr>
        <w:t xml:space="preserve">поселок Молния</w:t>
      </w:r>
    </w:p>
    <w:p>
      <w:pPr>
        <w:pStyle w:val="0"/>
        <w:spacing w:before="240" w:lineRule="auto"/>
        <w:ind w:firstLine="540"/>
        <w:jc w:val="both"/>
      </w:pPr>
      <w:r>
        <w:rPr>
          <w:sz w:val="24"/>
        </w:rPr>
        <w:t xml:space="preserve">поселок Новая Жизнь</w:t>
      </w:r>
    </w:p>
    <w:p>
      <w:pPr>
        <w:pStyle w:val="0"/>
        <w:spacing w:before="240" w:lineRule="auto"/>
        <w:ind w:firstLine="540"/>
        <w:jc w:val="both"/>
      </w:pPr>
      <w:r>
        <w:rPr>
          <w:sz w:val="24"/>
        </w:rPr>
        <w:t xml:space="preserve">поселок Сехнер</w:t>
      </w:r>
    </w:p>
    <w:p>
      <w:pPr>
        <w:pStyle w:val="0"/>
        <w:spacing w:before="240" w:lineRule="auto"/>
        <w:ind w:firstLine="540"/>
        <w:jc w:val="both"/>
      </w:pPr>
      <w:r>
        <w:rPr>
          <w:sz w:val="24"/>
        </w:rPr>
        <w:t xml:space="preserve">поселок Смычка</w:t>
      </w:r>
    </w:p>
    <w:p>
      <w:pPr>
        <w:pStyle w:val="0"/>
        <w:jc w:val="both"/>
      </w:pPr>
      <w:r>
        <w:rPr>
          <w:sz w:val="24"/>
        </w:rPr>
      </w:r>
    </w:p>
    <w:p>
      <w:pPr>
        <w:pStyle w:val="2"/>
        <w:outlineLvl w:val="2"/>
        <w:jc w:val="center"/>
      </w:pPr>
      <w:r>
        <w:rPr>
          <w:sz w:val="24"/>
        </w:rPr>
        <w:t xml:space="preserve">Канашский муниципальный округ Чувашской Республики</w:t>
      </w:r>
    </w:p>
    <w:p>
      <w:pPr>
        <w:pStyle w:val="0"/>
        <w:jc w:val="both"/>
      </w:pPr>
      <w:r>
        <w:rPr>
          <w:sz w:val="24"/>
        </w:rPr>
      </w:r>
    </w:p>
    <w:p>
      <w:pPr>
        <w:pStyle w:val="0"/>
        <w:ind w:firstLine="540"/>
        <w:jc w:val="both"/>
      </w:pPr>
      <w:r>
        <w:rPr>
          <w:sz w:val="24"/>
        </w:rPr>
        <w:t xml:space="preserve">деревня Кашкар-Сирмы</w:t>
      </w:r>
    </w:p>
    <w:p>
      <w:pPr>
        <w:pStyle w:val="0"/>
        <w:spacing w:before="240" w:lineRule="auto"/>
        <w:ind w:firstLine="540"/>
        <w:jc w:val="both"/>
      </w:pPr>
      <w:r>
        <w:rPr>
          <w:sz w:val="24"/>
        </w:rPr>
        <w:t xml:space="preserve">деревня Малды-Питикасы</w:t>
      </w:r>
    </w:p>
    <w:p>
      <w:pPr>
        <w:pStyle w:val="0"/>
        <w:spacing w:before="240" w:lineRule="auto"/>
        <w:ind w:firstLine="540"/>
        <w:jc w:val="both"/>
      </w:pPr>
      <w:r>
        <w:rPr>
          <w:sz w:val="24"/>
        </w:rPr>
        <w:t xml:space="preserve">деревня Новые Шорданы</w:t>
      </w:r>
    </w:p>
    <w:p>
      <w:pPr>
        <w:pStyle w:val="0"/>
        <w:spacing w:before="240" w:lineRule="auto"/>
        <w:ind w:firstLine="540"/>
        <w:jc w:val="both"/>
      </w:pPr>
      <w:r>
        <w:rPr>
          <w:sz w:val="24"/>
        </w:rPr>
        <w:t xml:space="preserve">деревня Сив-Сирма</w:t>
      </w:r>
    </w:p>
    <w:p>
      <w:pPr>
        <w:pStyle w:val="0"/>
        <w:spacing w:before="240" w:lineRule="auto"/>
        <w:ind w:firstLine="540"/>
        <w:jc w:val="both"/>
      </w:pPr>
      <w:r>
        <w:rPr>
          <w:sz w:val="24"/>
        </w:rPr>
        <w:t xml:space="preserve">выселок Кибечи</w:t>
      </w:r>
    </w:p>
    <w:p>
      <w:pPr>
        <w:pStyle w:val="0"/>
        <w:jc w:val="both"/>
      </w:pPr>
      <w:r>
        <w:rPr>
          <w:sz w:val="24"/>
        </w:rPr>
      </w:r>
    </w:p>
    <w:p>
      <w:pPr>
        <w:pStyle w:val="2"/>
        <w:outlineLvl w:val="2"/>
        <w:jc w:val="center"/>
      </w:pPr>
      <w:r>
        <w:rPr>
          <w:sz w:val="24"/>
        </w:rPr>
        <w:t xml:space="preserve">Красноармейский муниципальный округ Чувашской Республики</w:t>
      </w:r>
    </w:p>
    <w:p>
      <w:pPr>
        <w:pStyle w:val="0"/>
        <w:jc w:val="both"/>
      </w:pPr>
      <w:r>
        <w:rPr>
          <w:sz w:val="24"/>
        </w:rPr>
      </w:r>
    </w:p>
    <w:p>
      <w:pPr>
        <w:pStyle w:val="0"/>
        <w:ind w:firstLine="540"/>
        <w:jc w:val="both"/>
      </w:pPr>
      <w:r>
        <w:rPr>
          <w:sz w:val="24"/>
        </w:rPr>
        <w:t xml:space="preserve">деревня Верхние Кожары</w:t>
      </w:r>
    </w:p>
    <w:p>
      <w:pPr>
        <w:pStyle w:val="0"/>
        <w:spacing w:before="240" w:lineRule="auto"/>
        <w:ind w:firstLine="540"/>
        <w:jc w:val="both"/>
      </w:pPr>
      <w:r>
        <w:rPr>
          <w:sz w:val="24"/>
        </w:rPr>
        <w:t xml:space="preserve">деревня Кивьялы</w:t>
      </w:r>
    </w:p>
    <w:p>
      <w:pPr>
        <w:pStyle w:val="0"/>
        <w:spacing w:before="240" w:lineRule="auto"/>
        <w:ind w:firstLine="540"/>
        <w:jc w:val="both"/>
      </w:pPr>
      <w:r>
        <w:rPr>
          <w:sz w:val="24"/>
        </w:rPr>
        <w:t xml:space="preserve">деревня Кирегаси</w:t>
      </w:r>
    </w:p>
    <w:p>
      <w:pPr>
        <w:pStyle w:val="0"/>
        <w:spacing w:before="240" w:lineRule="auto"/>
        <w:ind w:firstLine="540"/>
        <w:jc w:val="both"/>
      </w:pPr>
      <w:r>
        <w:rPr>
          <w:sz w:val="24"/>
        </w:rPr>
        <w:t xml:space="preserve">деревня Синьял-Шатьма</w:t>
      </w:r>
    </w:p>
    <w:p>
      <w:pPr>
        <w:pStyle w:val="0"/>
        <w:jc w:val="both"/>
      </w:pPr>
      <w:r>
        <w:rPr>
          <w:sz w:val="24"/>
        </w:rPr>
      </w:r>
    </w:p>
    <w:p>
      <w:pPr>
        <w:pStyle w:val="2"/>
        <w:outlineLvl w:val="2"/>
        <w:jc w:val="center"/>
      </w:pPr>
      <w:r>
        <w:rPr>
          <w:sz w:val="24"/>
        </w:rPr>
        <w:t xml:space="preserve">Красночетайский муниципальный округ Чувашской Республики</w:t>
      </w:r>
    </w:p>
    <w:p>
      <w:pPr>
        <w:pStyle w:val="0"/>
        <w:jc w:val="both"/>
      </w:pPr>
      <w:r>
        <w:rPr>
          <w:sz w:val="24"/>
        </w:rPr>
      </w:r>
    </w:p>
    <w:p>
      <w:pPr>
        <w:pStyle w:val="0"/>
        <w:ind w:firstLine="540"/>
        <w:jc w:val="both"/>
      </w:pPr>
      <w:r>
        <w:rPr>
          <w:sz w:val="24"/>
        </w:rPr>
        <w:t xml:space="preserve">деревня Акташи</w:t>
      </w:r>
    </w:p>
    <w:p>
      <w:pPr>
        <w:pStyle w:val="0"/>
        <w:spacing w:before="240" w:lineRule="auto"/>
        <w:ind w:firstLine="540"/>
        <w:jc w:val="both"/>
      </w:pPr>
      <w:r>
        <w:rPr>
          <w:sz w:val="24"/>
        </w:rPr>
        <w:t xml:space="preserve">деревня Горбатовка</w:t>
      </w:r>
    </w:p>
    <w:p>
      <w:pPr>
        <w:pStyle w:val="0"/>
        <w:spacing w:before="240" w:lineRule="auto"/>
        <w:ind w:firstLine="540"/>
        <w:jc w:val="both"/>
      </w:pPr>
      <w:r>
        <w:rPr>
          <w:sz w:val="24"/>
        </w:rPr>
        <w:t xml:space="preserve">деревня Красный Яр</w:t>
      </w:r>
    </w:p>
    <w:p>
      <w:pPr>
        <w:pStyle w:val="0"/>
        <w:spacing w:before="240" w:lineRule="auto"/>
        <w:ind w:firstLine="540"/>
        <w:jc w:val="both"/>
      </w:pPr>
      <w:r>
        <w:rPr>
          <w:sz w:val="24"/>
        </w:rPr>
        <w:t xml:space="preserve">деревня Кузнечная</w:t>
      </w:r>
    </w:p>
    <w:p>
      <w:pPr>
        <w:pStyle w:val="0"/>
        <w:spacing w:before="240" w:lineRule="auto"/>
        <w:ind w:firstLine="540"/>
        <w:jc w:val="both"/>
      </w:pPr>
      <w:r>
        <w:rPr>
          <w:sz w:val="24"/>
        </w:rPr>
        <w:t xml:space="preserve">деревня Лоба</w:t>
      </w:r>
    </w:p>
    <w:p>
      <w:pPr>
        <w:pStyle w:val="0"/>
        <w:spacing w:before="240" w:lineRule="auto"/>
        <w:ind w:firstLine="540"/>
        <w:jc w:val="both"/>
      </w:pPr>
      <w:r>
        <w:rPr>
          <w:sz w:val="24"/>
        </w:rPr>
        <w:t xml:space="preserve">деревня Малиновка</w:t>
      </w:r>
    </w:p>
    <w:p>
      <w:pPr>
        <w:pStyle w:val="0"/>
        <w:spacing w:before="240" w:lineRule="auto"/>
        <w:ind w:firstLine="540"/>
        <w:jc w:val="both"/>
      </w:pPr>
      <w:r>
        <w:rPr>
          <w:sz w:val="24"/>
        </w:rPr>
        <w:t xml:space="preserve">деревня Обыково</w:t>
      </w:r>
    </w:p>
    <w:p>
      <w:pPr>
        <w:pStyle w:val="0"/>
        <w:spacing w:before="240" w:lineRule="auto"/>
        <w:ind w:firstLine="540"/>
        <w:jc w:val="both"/>
      </w:pPr>
      <w:r>
        <w:rPr>
          <w:sz w:val="24"/>
        </w:rPr>
        <w:t xml:space="preserve">поселок Черемушки</w:t>
      </w:r>
    </w:p>
    <w:p>
      <w:pPr>
        <w:pStyle w:val="0"/>
        <w:jc w:val="both"/>
      </w:pPr>
      <w:r>
        <w:rPr>
          <w:sz w:val="24"/>
        </w:rPr>
      </w:r>
    </w:p>
    <w:p>
      <w:pPr>
        <w:pStyle w:val="2"/>
        <w:outlineLvl w:val="2"/>
        <w:jc w:val="center"/>
      </w:pPr>
      <w:r>
        <w:rPr>
          <w:sz w:val="24"/>
        </w:rPr>
        <w:t xml:space="preserve">Мариинско-Посадский муниципальный округ Чувашской Республики</w:t>
      </w:r>
    </w:p>
    <w:p>
      <w:pPr>
        <w:pStyle w:val="0"/>
        <w:jc w:val="both"/>
      </w:pPr>
      <w:r>
        <w:rPr>
          <w:sz w:val="24"/>
        </w:rPr>
      </w:r>
    </w:p>
    <w:p>
      <w:pPr>
        <w:pStyle w:val="0"/>
        <w:ind w:firstLine="540"/>
        <w:jc w:val="both"/>
      </w:pPr>
      <w:r>
        <w:rPr>
          <w:sz w:val="24"/>
        </w:rPr>
        <w:t xml:space="preserve">деревня Амачкино</w:t>
      </w:r>
    </w:p>
    <w:p>
      <w:pPr>
        <w:pStyle w:val="0"/>
        <w:spacing w:before="240" w:lineRule="auto"/>
        <w:ind w:firstLine="540"/>
        <w:jc w:val="both"/>
      </w:pPr>
      <w:r>
        <w:rPr>
          <w:sz w:val="24"/>
        </w:rPr>
        <w:t xml:space="preserve">деревня Анаткасы</w:t>
      </w:r>
    </w:p>
    <w:p>
      <w:pPr>
        <w:pStyle w:val="0"/>
        <w:spacing w:before="240" w:lineRule="auto"/>
        <w:ind w:firstLine="540"/>
        <w:jc w:val="both"/>
      </w:pPr>
      <w:r>
        <w:rPr>
          <w:sz w:val="24"/>
        </w:rPr>
        <w:t xml:space="preserve">деревня Ильменькасы</w:t>
      </w:r>
    </w:p>
    <w:p>
      <w:pPr>
        <w:pStyle w:val="0"/>
        <w:spacing w:before="240" w:lineRule="auto"/>
        <w:ind w:firstLine="540"/>
        <w:jc w:val="both"/>
      </w:pPr>
      <w:r>
        <w:rPr>
          <w:sz w:val="24"/>
        </w:rPr>
        <w:t xml:space="preserve">деревня Тузи</w:t>
      </w:r>
    </w:p>
    <w:p>
      <w:pPr>
        <w:pStyle w:val="0"/>
        <w:spacing w:before="240" w:lineRule="auto"/>
        <w:ind w:firstLine="540"/>
        <w:jc w:val="both"/>
      </w:pPr>
      <w:r>
        <w:rPr>
          <w:sz w:val="24"/>
        </w:rPr>
        <w:t xml:space="preserve">деревня Чинеры</w:t>
      </w:r>
    </w:p>
    <w:p>
      <w:pPr>
        <w:pStyle w:val="0"/>
        <w:spacing w:before="240" w:lineRule="auto"/>
        <w:ind w:firstLine="540"/>
        <w:jc w:val="both"/>
      </w:pPr>
      <w:r>
        <w:rPr>
          <w:sz w:val="24"/>
        </w:rPr>
        <w:t xml:space="preserve">деревня Юрьевка</w:t>
      </w:r>
    </w:p>
    <w:p>
      <w:pPr>
        <w:pStyle w:val="0"/>
        <w:jc w:val="both"/>
      </w:pPr>
      <w:r>
        <w:rPr>
          <w:sz w:val="24"/>
        </w:rPr>
      </w:r>
    </w:p>
    <w:p>
      <w:pPr>
        <w:pStyle w:val="2"/>
        <w:outlineLvl w:val="2"/>
        <w:jc w:val="center"/>
      </w:pPr>
      <w:r>
        <w:rPr>
          <w:sz w:val="24"/>
        </w:rPr>
        <w:t xml:space="preserve">Моргаушский муниципальный округ Чувашской Республики</w:t>
      </w:r>
    </w:p>
    <w:p>
      <w:pPr>
        <w:pStyle w:val="0"/>
        <w:jc w:val="both"/>
      </w:pPr>
      <w:r>
        <w:rPr>
          <w:sz w:val="24"/>
        </w:rPr>
      </w:r>
    </w:p>
    <w:p>
      <w:pPr>
        <w:pStyle w:val="0"/>
        <w:ind w:firstLine="540"/>
        <w:jc w:val="both"/>
      </w:pPr>
      <w:r>
        <w:rPr>
          <w:sz w:val="24"/>
        </w:rPr>
        <w:t xml:space="preserve">деревня Анаткасы</w:t>
      </w:r>
    </w:p>
    <w:p>
      <w:pPr>
        <w:pStyle w:val="0"/>
        <w:spacing w:before="240" w:lineRule="auto"/>
        <w:ind w:firstLine="540"/>
        <w:jc w:val="both"/>
      </w:pPr>
      <w:r>
        <w:rPr>
          <w:sz w:val="24"/>
        </w:rPr>
        <w:t xml:space="preserve">деревня Верхний Томлай</w:t>
      </w:r>
    </w:p>
    <w:p>
      <w:pPr>
        <w:pStyle w:val="0"/>
        <w:spacing w:before="240" w:lineRule="auto"/>
        <w:ind w:firstLine="540"/>
        <w:jc w:val="both"/>
      </w:pPr>
      <w:r>
        <w:rPr>
          <w:sz w:val="24"/>
        </w:rPr>
        <w:t xml:space="preserve">деревня Ивановка</w:t>
      </w:r>
    </w:p>
    <w:p>
      <w:pPr>
        <w:pStyle w:val="0"/>
        <w:spacing w:before="240" w:lineRule="auto"/>
        <w:ind w:firstLine="540"/>
        <w:jc w:val="both"/>
      </w:pPr>
      <w:r>
        <w:rPr>
          <w:sz w:val="24"/>
        </w:rPr>
        <w:t xml:space="preserve">деревня Карамалькасы</w:t>
      </w:r>
    </w:p>
    <w:p>
      <w:pPr>
        <w:pStyle w:val="0"/>
        <w:spacing w:before="240" w:lineRule="auto"/>
        <w:ind w:firstLine="540"/>
        <w:jc w:val="both"/>
      </w:pPr>
      <w:r>
        <w:rPr>
          <w:sz w:val="24"/>
        </w:rPr>
        <w:t xml:space="preserve">деревня Лесные Хачики</w:t>
      </w:r>
    </w:p>
    <w:p>
      <w:pPr>
        <w:pStyle w:val="0"/>
        <w:spacing w:before="240" w:lineRule="auto"/>
        <w:ind w:firstLine="540"/>
        <w:jc w:val="both"/>
      </w:pPr>
      <w:r>
        <w:rPr>
          <w:sz w:val="24"/>
        </w:rPr>
        <w:t xml:space="preserve">деревня Максикасы</w:t>
      </w:r>
    </w:p>
    <w:p>
      <w:pPr>
        <w:pStyle w:val="0"/>
        <w:spacing w:before="240" w:lineRule="auto"/>
        <w:ind w:firstLine="540"/>
        <w:jc w:val="both"/>
      </w:pPr>
      <w:r>
        <w:rPr>
          <w:sz w:val="24"/>
        </w:rPr>
        <w:t xml:space="preserve">деревня Мурзаково</w:t>
      </w:r>
    </w:p>
    <w:p>
      <w:pPr>
        <w:pStyle w:val="0"/>
        <w:spacing w:before="240" w:lineRule="auto"/>
        <w:ind w:firstLine="540"/>
        <w:jc w:val="both"/>
      </w:pPr>
      <w:r>
        <w:rPr>
          <w:sz w:val="24"/>
        </w:rPr>
        <w:t xml:space="preserve">деревня Нижний Томлай</w:t>
      </w:r>
    </w:p>
    <w:p>
      <w:pPr>
        <w:pStyle w:val="0"/>
        <w:spacing w:before="240" w:lineRule="auto"/>
        <w:ind w:firstLine="540"/>
        <w:jc w:val="both"/>
      </w:pPr>
      <w:r>
        <w:rPr>
          <w:sz w:val="24"/>
        </w:rPr>
        <w:t xml:space="preserve">деревня Нижние Хачики</w:t>
      </w:r>
    </w:p>
    <w:p>
      <w:pPr>
        <w:pStyle w:val="0"/>
        <w:spacing w:before="240" w:lineRule="auto"/>
        <w:ind w:firstLine="540"/>
        <w:jc w:val="both"/>
      </w:pPr>
      <w:r>
        <w:rPr>
          <w:sz w:val="24"/>
        </w:rPr>
        <w:t xml:space="preserve">деревня Новый Томлай</w:t>
      </w:r>
    </w:p>
    <w:p>
      <w:pPr>
        <w:pStyle w:val="0"/>
        <w:spacing w:before="240" w:lineRule="auto"/>
        <w:ind w:firstLine="540"/>
        <w:jc w:val="both"/>
      </w:pPr>
      <w:r>
        <w:rPr>
          <w:sz w:val="24"/>
        </w:rPr>
        <w:t xml:space="preserve">деревня Охтикасы</w:t>
      </w:r>
    </w:p>
    <w:p>
      <w:pPr>
        <w:pStyle w:val="0"/>
        <w:spacing w:before="240" w:lineRule="auto"/>
        <w:ind w:firstLine="540"/>
        <w:jc w:val="both"/>
      </w:pPr>
      <w:r>
        <w:rPr>
          <w:sz w:val="24"/>
        </w:rPr>
        <w:t xml:space="preserve">деревня Пожедановка</w:t>
      </w:r>
    </w:p>
    <w:p>
      <w:pPr>
        <w:pStyle w:val="0"/>
        <w:spacing w:before="240" w:lineRule="auto"/>
        <w:ind w:firstLine="540"/>
        <w:jc w:val="both"/>
      </w:pPr>
      <w:r>
        <w:rPr>
          <w:sz w:val="24"/>
        </w:rPr>
        <w:t xml:space="preserve">деревня Сергеевка</w:t>
      </w:r>
    </w:p>
    <w:p>
      <w:pPr>
        <w:pStyle w:val="0"/>
        <w:spacing w:before="240" w:lineRule="auto"/>
        <w:ind w:firstLine="540"/>
        <w:jc w:val="both"/>
      </w:pPr>
      <w:r>
        <w:rPr>
          <w:sz w:val="24"/>
        </w:rPr>
        <w:t xml:space="preserve">деревня Сюлеменькасы</w:t>
      </w:r>
    </w:p>
    <w:p>
      <w:pPr>
        <w:pStyle w:val="0"/>
        <w:spacing w:before="240" w:lineRule="auto"/>
        <w:ind w:firstLine="540"/>
        <w:jc w:val="both"/>
      </w:pPr>
      <w:r>
        <w:rPr>
          <w:sz w:val="24"/>
        </w:rPr>
        <w:t xml:space="preserve">деревня Чурикасы</w:t>
      </w:r>
    </w:p>
    <w:p>
      <w:pPr>
        <w:pStyle w:val="0"/>
        <w:spacing w:before="240" w:lineRule="auto"/>
        <w:ind w:firstLine="540"/>
        <w:jc w:val="both"/>
      </w:pPr>
      <w:r>
        <w:rPr>
          <w:sz w:val="24"/>
        </w:rPr>
        <w:t xml:space="preserve">деревня Эхветкасы</w:t>
      </w:r>
    </w:p>
    <w:p>
      <w:pPr>
        <w:pStyle w:val="0"/>
        <w:spacing w:before="240" w:lineRule="auto"/>
        <w:ind w:firstLine="540"/>
        <w:jc w:val="both"/>
      </w:pPr>
      <w:r>
        <w:rPr>
          <w:sz w:val="24"/>
        </w:rPr>
        <w:t xml:space="preserve">деревня Ямолкино</w:t>
      </w:r>
    </w:p>
    <w:p>
      <w:pPr>
        <w:pStyle w:val="0"/>
        <w:spacing w:before="240" w:lineRule="auto"/>
        <w:ind w:firstLine="540"/>
        <w:jc w:val="both"/>
      </w:pPr>
      <w:r>
        <w:rPr>
          <w:sz w:val="24"/>
        </w:rPr>
        <w:t xml:space="preserve">деревня Яраккасы</w:t>
      </w:r>
    </w:p>
    <w:p>
      <w:pPr>
        <w:pStyle w:val="0"/>
        <w:spacing w:before="240" w:lineRule="auto"/>
        <w:ind w:firstLine="540"/>
        <w:jc w:val="both"/>
      </w:pPr>
      <w:r>
        <w:rPr>
          <w:sz w:val="24"/>
        </w:rPr>
        <w:t xml:space="preserve">выселок Коминтерн</w:t>
      </w:r>
    </w:p>
    <w:p>
      <w:pPr>
        <w:pStyle w:val="0"/>
        <w:jc w:val="both"/>
      </w:pPr>
      <w:r>
        <w:rPr>
          <w:sz w:val="24"/>
        </w:rPr>
      </w:r>
    </w:p>
    <w:p>
      <w:pPr>
        <w:pStyle w:val="2"/>
        <w:outlineLvl w:val="2"/>
        <w:jc w:val="center"/>
      </w:pPr>
      <w:r>
        <w:rPr>
          <w:sz w:val="24"/>
        </w:rPr>
        <w:t xml:space="preserve">Порецкий муниципальный округ Чувашской Республики</w:t>
      </w:r>
    </w:p>
    <w:p>
      <w:pPr>
        <w:pStyle w:val="0"/>
        <w:jc w:val="both"/>
      </w:pPr>
      <w:r>
        <w:rPr>
          <w:sz w:val="24"/>
        </w:rPr>
      </w:r>
    </w:p>
    <w:p>
      <w:pPr>
        <w:pStyle w:val="0"/>
        <w:ind w:firstLine="540"/>
        <w:jc w:val="both"/>
      </w:pPr>
      <w:r>
        <w:rPr>
          <w:sz w:val="24"/>
        </w:rPr>
        <w:t xml:space="preserve">село Турдаково</w:t>
      </w:r>
    </w:p>
    <w:p>
      <w:pPr>
        <w:pStyle w:val="0"/>
        <w:spacing w:before="240" w:lineRule="auto"/>
        <w:ind w:firstLine="540"/>
        <w:jc w:val="both"/>
      </w:pPr>
      <w:r>
        <w:rPr>
          <w:sz w:val="24"/>
        </w:rPr>
        <w:t xml:space="preserve">деревня Вознесенское</w:t>
      </w:r>
    </w:p>
    <w:p>
      <w:pPr>
        <w:pStyle w:val="0"/>
        <w:spacing w:before="240" w:lineRule="auto"/>
        <w:ind w:firstLine="540"/>
        <w:jc w:val="both"/>
      </w:pPr>
      <w:r>
        <w:rPr>
          <w:sz w:val="24"/>
        </w:rPr>
        <w:t xml:space="preserve">деревня Милютино</w:t>
      </w:r>
    </w:p>
    <w:p>
      <w:pPr>
        <w:pStyle w:val="0"/>
        <w:spacing w:before="240" w:lineRule="auto"/>
        <w:ind w:firstLine="540"/>
        <w:jc w:val="both"/>
      </w:pPr>
      <w:r>
        <w:rPr>
          <w:sz w:val="24"/>
        </w:rPr>
        <w:t xml:space="preserve">деревня Устиновка</w:t>
      </w:r>
    </w:p>
    <w:p>
      <w:pPr>
        <w:pStyle w:val="0"/>
        <w:spacing w:before="240" w:lineRule="auto"/>
        <w:ind w:firstLine="540"/>
        <w:jc w:val="both"/>
      </w:pPr>
      <w:r>
        <w:rPr>
          <w:sz w:val="24"/>
        </w:rPr>
        <w:t xml:space="preserve">деревня Шадриха</w:t>
      </w:r>
    </w:p>
    <w:p>
      <w:pPr>
        <w:pStyle w:val="0"/>
        <w:spacing w:before="240" w:lineRule="auto"/>
        <w:ind w:firstLine="540"/>
        <w:jc w:val="both"/>
      </w:pPr>
      <w:r>
        <w:rPr>
          <w:sz w:val="24"/>
        </w:rPr>
        <w:t xml:space="preserve">поселок Заречный</w:t>
      </w:r>
    </w:p>
    <w:p>
      <w:pPr>
        <w:pStyle w:val="0"/>
        <w:spacing w:before="240" w:lineRule="auto"/>
        <w:ind w:firstLine="540"/>
        <w:jc w:val="both"/>
      </w:pPr>
      <w:r>
        <w:rPr>
          <w:sz w:val="24"/>
        </w:rPr>
        <w:t xml:space="preserve">поселок Зеленый Дол</w:t>
      </w:r>
    </w:p>
    <w:p>
      <w:pPr>
        <w:pStyle w:val="0"/>
        <w:spacing w:before="240" w:lineRule="auto"/>
        <w:ind w:firstLine="540"/>
        <w:jc w:val="both"/>
      </w:pPr>
      <w:r>
        <w:rPr>
          <w:sz w:val="24"/>
        </w:rPr>
        <w:t xml:space="preserve">поселок Красноглухово</w:t>
      </w:r>
    </w:p>
    <w:p>
      <w:pPr>
        <w:pStyle w:val="0"/>
        <w:spacing w:before="240" w:lineRule="auto"/>
        <w:ind w:firstLine="540"/>
        <w:jc w:val="both"/>
      </w:pPr>
      <w:r>
        <w:rPr>
          <w:sz w:val="24"/>
        </w:rPr>
        <w:t xml:space="preserve">поселок Ниловка</w:t>
      </w:r>
    </w:p>
    <w:p>
      <w:pPr>
        <w:pStyle w:val="0"/>
        <w:spacing w:before="240" w:lineRule="auto"/>
        <w:ind w:firstLine="540"/>
        <w:jc w:val="both"/>
      </w:pPr>
      <w:r>
        <w:rPr>
          <w:sz w:val="24"/>
        </w:rPr>
        <w:t xml:space="preserve">поселок Степное Коровино</w:t>
      </w:r>
    </w:p>
    <w:p>
      <w:pPr>
        <w:pStyle w:val="0"/>
        <w:jc w:val="both"/>
      </w:pPr>
      <w:r>
        <w:rPr>
          <w:sz w:val="24"/>
        </w:rPr>
      </w:r>
    </w:p>
    <w:p>
      <w:pPr>
        <w:pStyle w:val="2"/>
        <w:outlineLvl w:val="2"/>
        <w:jc w:val="center"/>
      </w:pPr>
      <w:r>
        <w:rPr>
          <w:sz w:val="24"/>
        </w:rPr>
        <w:t xml:space="preserve">Урмарский муниципальный округ Чувашской Республики</w:t>
      </w:r>
    </w:p>
    <w:p>
      <w:pPr>
        <w:pStyle w:val="0"/>
        <w:jc w:val="both"/>
      </w:pPr>
      <w:r>
        <w:rPr>
          <w:sz w:val="24"/>
        </w:rPr>
      </w:r>
    </w:p>
    <w:p>
      <w:pPr>
        <w:pStyle w:val="0"/>
        <w:ind w:firstLine="540"/>
        <w:jc w:val="both"/>
      </w:pPr>
      <w:r>
        <w:rPr>
          <w:sz w:val="24"/>
        </w:rPr>
        <w:t xml:space="preserve">деревня Атнаши</w:t>
      </w:r>
    </w:p>
    <w:p>
      <w:pPr>
        <w:pStyle w:val="0"/>
        <w:spacing w:before="240" w:lineRule="auto"/>
        <w:ind w:firstLine="540"/>
        <w:jc w:val="both"/>
      </w:pPr>
      <w:r>
        <w:rPr>
          <w:sz w:val="24"/>
        </w:rPr>
        <w:t xml:space="preserve">деревня Буинск</w:t>
      </w:r>
    </w:p>
    <w:p>
      <w:pPr>
        <w:pStyle w:val="0"/>
        <w:spacing w:before="240" w:lineRule="auto"/>
        <w:ind w:firstLine="540"/>
        <w:jc w:val="both"/>
      </w:pPr>
      <w:r>
        <w:rPr>
          <w:sz w:val="24"/>
        </w:rPr>
        <w:t xml:space="preserve">деревня Избеби</w:t>
      </w:r>
    </w:p>
    <w:p>
      <w:pPr>
        <w:pStyle w:val="0"/>
        <w:spacing w:before="240" w:lineRule="auto"/>
        <w:ind w:firstLine="540"/>
        <w:jc w:val="both"/>
      </w:pPr>
      <w:r>
        <w:rPr>
          <w:sz w:val="24"/>
        </w:rPr>
        <w:t xml:space="preserve">деревня Ичеснер-Атаево</w:t>
      </w:r>
    </w:p>
    <w:p>
      <w:pPr>
        <w:pStyle w:val="0"/>
        <w:spacing w:before="240" w:lineRule="auto"/>
        <w:ind w:firstLine="540"/>
        <w:jc w:val="both"/>
      </w:pPr>
      <w:r>
        <w:rPr>
          <w:sz w:val="24"/>
        </w:rPr>
        <w:t xml:space="preserve">деревня Малые Чаки</w:t>
      </w:r>
    </w:p>
    <w:p>
      <w:pPr>
        <w:pStyle w:val="0"/>
        <w:spacing w:before="240" w:lineRule="auto"/>
        <w:ind w:firstLine="540"/>
        <w:jc w:val="both"/>
      </w:pPr>
      <w:r>
        <w:rPr>
          <w:sz w:val="24"/>
        </w:rPr>
        <w:t xml:space="preserve">деревня Систеби</w:t>
      </w:r>
    </w:p>
    <w:p>
      <w:pPr>
        <w:pStyle w:val="0"/>
        <w:spacing w:before="240" w:lineRule="auto"/>
        <w:ind w:firstLine="540"/>
        <w:jc w:val="both"/>
      </w:pPr>
      <w:r>
        <w:rPr>
          <w:sz w:val="24"/>
        </w:rPr>
        <w:t xml:space="preserve">деревня Ситмиши</w:t>
      </w:r>
    </w:p>
    <w:p>
      <w:pPr>
        <w:pStyle w:val="0"/>
        <w:spacing w:before="240" w:lineRule="auto"/>
        <w:ind w:firstLine="540"/>
        <w:jc w:val="both"/>
      </w:pPr>
      <w:r>
        <w:rPr>
          <w:sz w:val="24"/>
        </w:rPr>
        <w:t xml:space="preserve">деревня Хоруй</w:t>
      </w:r>
    </w:p>
    <w:p>
      <w:pPr>
        <w:pStyle w:val="0"/>
        <w:spacing w:before="240" w:lineRule="auto"/>
        <w:ind w:firstLine="540"/>
        <w:jc w:val="both"/>
      </w:pPr>
      <w:r>
        <w:rPr>
          <w:sz w:val="24"/>
        </w:rPr>
        <w:t xml:space="preserve">деревня Чегедуево</w:t>
      </w:r>
    </w:p>
    <w:p>
      <w:pPr>
        <w:pStyle w:val="0"/>
        <w:spacing w:before="240" w:lineRule="auto"/>
        <w:ind w:firstLine="540"/>
        <w:jc w:val="both"/>
      </w:pPr>
      <w:r>
        <w:rPr>
          <w:sz w:val="24"/>
        </w:rPr>
        <w:t xml:space="preserve">деревня Чирш-Сирма</w:t>
      </w:r>
    </w:p>
    <w:p>
      <w:pPr>
        <w:pStyle w:val="0"/>
        <w:jc w:val="both"/>
      </w:pPr>
      <w:r>
        <w:rPr>
          <w:sz w:val="24"/>
        </w:rPr>
      </w:r>
    </w:p>
    <w:p>
      <w:pPr>
        <w:pStyle w:val="2"/>
        <w:outlineLvl w:val="2"/>
        <w:jc w:val="center"/>
      </w:pPr>
      <w:r>
        <w:rPr>
          <w:sz w:val="24"/>
        </w:rPr>
        <w:t xml:space="preserve">Цивильский муниципальный округ Чувашской Республики</w:t>
      </w:r>
    </w:p>
    <w:p>
      <w:pPr>
        <w:pStyle w:val="0"/>
        <w:jc w:val="both"/>
      </w:pPr>
      <w:r>
        <w:rPr>
          <w:sz w:val="24"/>
        </w:rPr>
      </w:r>
    </w:p>
    <w:p>
      <w:pPr>
        <w:pStyle w:val="0"/>
        <w:ind w:firstLine="540"/>
        <w:jc w:val="both"/>
      </w:pPr>
      <w:r>
        <w:rPr>
          <w:sz w:val="24"/>
        </w:rPr>
        <w:t xml:space="preserve">деревня Акнязево</w:t>
      </w:r>
    </w:p>
    <w:p>
      <w:pPr>
        <w:pStyle w:val="0"/>
        <w:spacing w:before="240" w:lineRule="auto"/>
        <w:ind w:firstLine="540"/>
        <w:jc w:val="both"/>
      </w:pPr>
      <w:r>
        <w:rPr>
          <w:sz w:val="24"/>
        </w:rPr>
        <w:t xml:space="preserve">деревня Акташкасы</w:t>
      </w:r>
    </w:p>
    <w:p>
      <w:pPr>
        <w:pStyle w:val="0"/>
        <w:spacing w:before="240" w:lineRule="auto"/>
        <w:ind w:firstLine="540"/>
        <w:jc w:val="both"/>
      </w:pPr>
      <w:r>
        <w:rPr>
          <w:sz w:val="24"/>
        </w:rPr>
        <w:t xml:space="preserve">деревня Антраки</w:t>
      </w:r>
    </w:p>
    <w:p>
      <w:pPr>
        <w:pStyle w:val="0"/>
        <w:spacing w:before="240" w:lineRule="auto"/>
        <w:ind w:firstLine="540"/>
        <w:jc w:val="both"/>
      </w:pPr>
      <w:r>
        <w:rPr>
          <w:sz w:val="24"/>
        </w:rPr>
        <w:t xml:space="preserve">деревня Торваши</w:t>
      </w:r>
    </w:p>
    <w:p>
      <w:pPr>
        <w:pStyle w:val="0"/>
        <w:spacing w:before="240" w:lineRule="auto"/>
        <w:ind w:firstLine="540"/>
        <w:jc w:val="both"/>
      </w:pPr>
      <w:r>
        <w:rPr>
          <w:sz w:val="24"/>
        </w:rPr>
        <w:t xml:space="preserve">деревня Три-Избы</w:t>
      </w:r>
    </w:p>
    <w:p>
      <w:pPr>
        <w:pStyle w:val="0"/>
        <w:spacing w:before="240" w:lineRule="auto"/>
        <w:ind w:firstLine="540"/>
        <w:jc w:val="both"/>
      </w:pPr>
      <w:r>
        <w:rPr>
          <w:sz w:val="24"/>
        </w:rPr>
        <w:t xml:space="preserve">деревня Тюнзыры</w:t>
      </w:r>
    </w:p>
    <w:p>
      <w:pPr>
        <w:pStyle w:val="0"/>
        <w:jc w:val="both"/>
      </w:pPr>
      <w:r>
        <w:rPr>
          <w:sz w:val="24"/>
        </w:rPr>
      </w:r>
    </w:p>
    <w:p>
      <w:pPr>
        <w:pStyle w:val="2"/>
        <w:outlineLvl w:val="2"/>
        <w:jc w:val="center"/>
      </w:pPr>
      <w:r>
        <w:rPr>
          <w:sz w:val="24"/>
        </w:rPr>
        <w:t xml:space="preserve">Чебоксарский муниципальный округ Чувашской Республики</w:t>
      </w:r>
    </w:p>
    <w:p>
      <w:pPr>
        <w:pStyle w:val="0"/>
        <w:jc w:val="both"/>
      </w:pPr>
      <w:r>
        <w:rPr>
          <w:sz w:val="24"/>
        </w:rPr>
      </w:r>
    </w:p>
    <w:p>
      <w:pPr>
        <w:pStyle w:val="0"/>
        <w:ind w:firstLine="540"/>
        <w:jc w:val="both"/>
      </w:pPr>
      <w:r>
        <w:rPr>
          <w:sz w:val="24"/>
        </w:rPr>
        <w:t xml:space="preserve">деревня Байсубаково</w:t>
      </w:r>
    </w:p>
    <w:p>
      <w:pPr>
        <w:pStyle w:val="0"/>
        <w:spacing w:before="240" w:lineRule="auto"/>
        <w:ind w:firstLine="540"/>
        <w:jc w:val="both"/>
      </w:pPr>
      <w:r>
        <w:rPr>
          <w:sz w:val="24"/>
        </w:rPr>
        <w:t xml:space="preserve">деревня Малдыкасы</w:t>
      </w:r>
    </w:p>
    <w:p>
      <w:pPr>
        <w:pStyle w:val="0"/>
        <w:spacing w:before="240" w:lineRule="auto"/>
        <w:ind w:firstLine="540"/>
        <w:jc w:val="both"/>
      </w:pPr>
      <w:r>
        <w:rPr>
          <w:sz w:val="24"/>
        </w:rPr>
        <w:t xml:space="preserve">деревня Мускаринкасы</w:t>
      </w:r>
    </w:p>
    <w:p>
      <w:pPr>
        <w:pStyle w:val="0"/>
        <w:spacing w:before="240" w:lineRule="auto"/>
        <w:ind w:firstLine="540"/>
        <w:jc w:val="both"/>
      </w:pPr>
      <w:r>
        <w:rPr>
          <w:sz w:val="24"/>
        </w:rPr>
        <w:t xml:space="preserve">деревня Самуково</w:t>
      </w:r>
    </w:p>
    <w:p>
      <w:pPr>
        <w:pStyle w:val="0"/>
        <w:jc w:val="both"/>
      </w:pPr>
      <w:r>
        <w:rPr>
          <w:sz w:val="24"/>
        </w:rPr>
      </w:r>
    </w:p>
    <w:p>
      <w:pPr>
        <w:pStyle w:val="2"/>
        <w:outlineLvl w:val="2"/>
        <w:jc w:val="center"/>
      </w:pPr>
      <w:r>
        <w:rPr>
          <w:sz w:val="24"/>
        </w:rPr>
        <w:t xml:space="preserve">Шемуршинский муниципальный округ Чувашской Республики</w:t>
      </w:r>
    </w:p>
    <w:p>
      <w:pPr>
        <w:pStyle w:val="0"/>
        <w:jc w:val="both"/>
      </w:pPr>
      <w:r>
        <w:rPr>
          <w:sz w:val="24"/>
        </w:rPr>
      </w:r>
    </w:p>
    <w:p>
      <w:pPr>
        <w:pStyle w:val="0"/>
        <w:ind w:firstLine="540"/>
        <w:jc w:val="both"/>
      </w:pPr>
      <w:r>
        <w:rPr>
          <w:sz w:val="24"/>
        </w:rPr>
        <w:t xml:space="preserve">село Шамкино</w:t>
      </w:r>
    </w:p>
    <w:p>
      <w:pPr>
        <w:pStyle w:val="0"/>
        <w:spacing w:before="240" w:lineRule="auto"/>
        <w:ind w:firstLine="540"/>
        <w:jc w:val="both"/>
      </w:pPr>
      <w:r>
        <w:rPr>
          <w:sz w:val="24"/>
        </w:rPr>
        <w:t xml:space="preserve">деревня Какерли-Шигали</w:t>
      </w:r>
    </w:p>
    <w:p>
      <w:pPr>
        <w:pStyle w:val="0"/>
        <w:spacing w:before="240" w:lineRule="auto"/>
        <w:ind w:firstLine="540"/>
        <w:jc w:val="both"/>
      </w:pPr>
      <w:r>
        <w:rPr>
          <w:sz w:val="24"/>
        </w:rPr>
        <w:t xml:space="preserve">деревня Мордовские Тюки</w:t>
      </w:r>
    </w:p>
    <w:p>
      <w:pPr>
        <w:pStyle w:val="0"/>
        <w:spacing w:before="240" w:lineRule="auto"/>
        <w:ind w:firstLine="540"/>
        <w:jc w:val="both"/>
      </w:pPr>
      <w:r>
        <w:rPr>
          <w:sz w:val="24"/>
        </w:rPr>
        <w:t xml:space="preserve">деревня Муллиная</w:t>
      </w:r>
    </w:p>
    <w:p>
      <w:pPr>
        <w:pStyle w:val="0"/>
        <w:spacing w:before="240" w:lineRule="auto"/>
        <w:ind w:firstLine="540"/>
        <w:jc w:val="both"/>
      </w:pPr>
      <w:r>
        <w:rPr>
          <w:sz w:val="24"/>
        </w:rPr>
        <w:t xml:space="preserve">деревня Яблоновка</w:t>
      </w:r>
    </w:p>
    <w:p>
      <w:pPr>
        <w:pStyle w:val="0"/>
        <w:spacing w:before="240" w:lineRule="auto"/>
        <w:ind w:firstLine="540"/>
        <w:jc w:val="both"/>
      </w:pPr>
      <w:r>
        <w:rPr>
          <w:sz w:val="24"/>
        </w:rPr>
        <w:t xml:space="preserve">поселок Баскаки</w:t>
      </w:r>
    </w:p>
    <w:p>
      <w:pPr>
        <w:pStyle w:val="0"/>
        <w:spacing w:before="240" w:lineRule="auto"/>
        <w:ind w:firstLine="540"/>
        <w:jc w:val="both"/>
      </w:pPr>
      <w:r>
        <w:rPr>
          <w:sz w:val="24"/>
        </w:rPr>
        <w:t xml:space="preserve">поселок Канаш</w:t>
      </w:r>
    </w:p>
    <w:p>
      <w:pPr>
        <w:pStyle w:val="0"/>
        <w:spacing w:before="240" w:lineRule="auto"/>
        <w:ind w:firstLine="540"/>
        <w:jc w:val="both"/>
      </w:pPr>
      <w:r>
        <w:rPr>
          <w:sz w:val="24"/>
        </w:rPr>
        <w:t xml:space="preserve">поселок Красный Вазан</w:t>
      </w:r>
    </w:p>
    <w:p>
      <w:pPr>
        <w:pStyle w:val="0"/>
        <w:spacing w:before="240" w:lineRule="auto"/>
        <w:ind w:firstLine="540"/>
        <w:jc w:val="both"/>
      </w:pPr>
      <w:r>
        <w:rPr>
          <w:sz w:val="24"/>
        </w:rPr>
        <w:t xml:space="preserve">поселок Кучеки</w:t>
      </w:r>
    </w:p>
    <w:p>
      <w:pPr>
        <w:pStyle w:val="0"/>
        <w:spacing w:before="240" w:lineRule="auto"/>
        <w:ind w:firstLine="540"/>
        <w:jc w:val="both"/>
      </w:pPr>
      <w:r>
        <w:rPr>
          <w:sz w:val="24"/>
        </w:rPr>
        <w:t xml:space="preserve">поселок Максим Горький</w:t>
      </w:r>
    </w:p>
    <w:p>
      <w:pPr>
        <w:pStyle w:val="0"/>
        <w:jc w:val="both"/>
      </w:pPr>
      <w:r>
        <w:rPr>
          <w:sz w:val="24"/>
        </w:rPr>
      </w:r>
    </w:p>
    <w:p>
      <w:pPr>
        <w:pStyle w:val="2"/>
        <w:outlineLvl w:val="2"/>
        <w:jc w:val="center"/>
      </w:pPr>
      <w:r>
        <w:rPr>
          <w:sz w:val="24"/>
        </w:rPr>
        <w:t xml:space="preserve">Шумерлинский муниципальный округ Чувашской Республики</w:t>
      </w:r>
    </w:p>
    <w:p>
      <w:pPr>
        <w:pStyle w:val="0"/>
        <w:jc w:val="both"/>
      </w:pPr>
      <w:r>
        <w:rPr>
          <w:sz w:val="24"/>
        </w:rPr>
      </w:r>
    </w:p>
    <w:p>
      <w:pPr>
        <w:pStyle w:val="0"/>
        <w:ind w:firstLine="540"/>
        <w:jc w:val="both"/>
      </w:pPr>
      <w:r>
        <w:rPr>
          <w:sz w:val="24"/>
        </w:rPr>
        <w:t xml:space="preserve">деревня Чертаганы</w:t>
      </w:r>
    </w:p>
    <w:p>
      <w:pPr>
        <w:pStyle w:val="0"/>
        <w:spacing w:before="240" w:lineRule="auto"/>
        <w:ind w:firstLine="540"/>
        <w:jc w:val="both"/>
      </w:pPr>
      <w:r>
        <w:rPr>
          <w:sz w:val="24"/>
        </w:rPr>
        <w:t xml:space="preserve">поселок Дубовка</w:t>
      </w:r>
    </w:p>
    <w:p>
      <w:pPr>
        <w:pStyle w:val="0"/>
        <w:spacing w:before="240" w:lineRule="auto"/>
        <w:ind w:firstLine="540"/>
        <w:jc w:val="both"/>
      </w:pPr>
      <w:r>
        <w:rPr>
          <w:sz w:val="24"/>
        </w:rPr>
        <w:t xml:space="preserve">поселок Красная Звезда</w:t>
      </w:r>
    </w:p>
    <w:p>
      <w:pPr>
        <w:pStyle w:val="0"/>
        <w:spacing w:before="240" w:lineRule="auto"/>
        <w:ind w:firstLine="540"/>
        <w:jc w:val="both"/>
      </w:pPr>
      <w:r>
        <w:rPr>
          <w:sz w:val="24"/>
        </w:rPr>
        <w:t xml:space="preserve">поселок Красный Атмал</w:t>
      </w:r>
    </w:p>
    <w:p>
      <w:pPr>
        <w:pStyle w:val="0"/>
        <w:spacing w:before="240" w:lineRule="auto"/>
        <w:ind w:firstLine="540"/>
        <w:jc w:val="both"/>
      </w:pPr>
      <w:r>
        <w:rPr>
          <w:sz w:val="24"/>
        </w:rPr>
        <w:t xml:space="preserve">поселок Подборное</w:t>
      </w:r>
    </w:p>
    <w:p>
      <w:pPr>
        <w:pStyle w:val="0"/>
        <w:spacing w:before="240" w:lineRule="auto"/>
        <w:ind w:firstLine="540"/>
        <w:jc w:val="both"/>
      </w:pPr>
      <w:r>
        <w:rPr>
          <w:sz w:val="24"/>
        </w:rPr>
        <w:t xml:space="preserve">поселок Путь Ленина</w:t>
      </w:r>
    </w:p>
    <w:p>
      <w:pPr>
        <w:pStyle w:val="0"/>
        <w:spacing w:before="240" w:lineRule="auto"/>
        <w:ind w:firstLine="540"/>
        <w:jc w:val="both"/>
      </w:pPr>
      <w:r>
        <w:rPr>
          <w:sz w:val="24"/>
        </w:rPr>
        <w:t xml:space="preserve">поселок Речной</w:t>
      </w:r>
    </w:p>
    <w:p>
      <w:pPr>
        <w:pStyle w:val="0"/>
        <w:jc w:val="both"/>
      </w:pPr>
      <w:r>
        <w:rPr>
          <w:sz w:val="24"/>
        </w:rPr>
      </w:r>
    </w:p>
    <w:p>
      <w:pPr>
        <w:pStyle w:val="2"/>
        <w:outlineLvl w:val="2"/>
        <w:jc w:val="center"/>
      </w:pPr>
      <w:r>
        <w:rPr>
          <w:sz w:val="24"/>
        </w:rPr>
        <w:t xml:space="preserve">Ядринский муниципальный округ Чувашской Республики</w:t>
      </w:r>
    </w:p>
    <w:p>
      <w:pPr>
        <w:pStyle w:val="0"/>
        <w:jc w:val="both"/>
      </w:pPr>
      <w:r>
        <w:rPr>
          <w:sz w:val="24"/>
        </w:rPr>
      </w:r>
    </w:p>
    <w:p>
      <w:pPr>
        <w:pStyle w:val="0"/>
        <w:ind w:firstLine="540"/>
        <w:jc w:val="both"/>
      </w:pPr>
      <w:r>
        <w:rPr>
          <w:sz w:val="24"/>
        </w:rPr>
        <w:t xml:space="preserve">поселок Лена</w:t>
      </w:r>
    </w:p>
    <w:p>
      <w:pPr>
        <w:pStyle w:val="0"/>
        <w:spacing w:before="240" w:lineRule="auto"/>
        <w:ind w:firstLine="540"/>
        <w:jc w:val="both"/>
      </w:pPr>
      <w:r>
        <w:rPr>
          <w:sz w:val="24"/>
        </w:rPr>
        <w:t xml:space="preserve">поселок Сучково</w:t>
      </w:r>
    </w:p>
    <w:p>
      <w:pPr>
        <w:pStyle w:val="0"/>
        <w:jc w:val="both"/>
      </w:pPr>
      <w:r>
        <w:rPr>
          <w:sz w:val="24"/>
        </w:rPr>
      </w:r>
    </w:p>
    <w:p>
      <w:pPr>
        <w:pStyle w:val="2"/>
        <w:outlineLvl w:val="2"/>
        <w:jc w:val="center"/>
      </w:pPr>
      <w:r>
        <w:rPr>
          <w:sz w:val="24"/>
        </w:rPr>
        <w:t xml:space="preserve">Яльчикский муниципальный округ Чувашской Республики</w:t>
      </w:r>
    </w:p>
    <w:p>
      <w:pPr>
        <w:pStyle w:val="0"/>
        <w:jc w:val="both"/>
      </w:pPr>
      <w:r>
        <w:rPr>
          <w:sz w:val="24"/>
        </w:rPr>
      </w:r>
    </w:p>
    <w:p>
      <w:pPr>
        <w:pStyle w:val="0"/>
        <w:ind w:firstLine="540"/>
        <w:jc w:val="both"/>
      </w:pPr>
      <w:r>
        <w:rPr>
          <w:sz w:val="24"/>
        </w:rPr>
        <w:t xml:space="preserve">деревня Большая Ерыкла</w:t>
      </w:r>
    </w:p>
    <w:p>
      <w:pPr>
        <w:pStyle w:val="0"/>
        <w:spacing w:before="240" w:lineRule="auto"/>
        <w:ind w:firstLine="540"/>
        <w:jc w:val="both"/>
      </w:pPr>
      <w:r>
        <w:rPr>
          <w:sz w:val="24"/>
        </w:rPr>
        <w:t xml:space="preserve">деревня Новое Ищеряково</w:t>
      </w:r>
    </w:p>
    <w:p>
      <w:pPr>
        <w:pStyle w:val="0"/>
        <w:spacing w:before="240" w:lineRule="auto"/>
        <w:ind w:firstLine="540"/>
        <w:jc w:val="both"/>
      </w:pPr>
      <w:r>
        <w:rPr>
          <w:sz w:val="24"/>
        </w:rPr>
        <w:t xml:space="preserve">деревня Тоскаево</w:t>
      </w:r>
    </w:p>
    <w:p>
      <w:pPr>
        <w:pStyle w:val="0"/>
        <w:spacing w:before="240" w:lineRule="auto"/>
        <w:ind w:firstLine="540"/>
        <w:jc w:val="both"/>
      </w:pPr>
      <w:r>
        <w:rPr>
          <w:sz w:val="24"/>
        </w:rPr>
        <w:t xml:space="preserve">поселок Малое Байдеряково</w:t>
      </w:r>
    </w:p>
    <w:p>
      <w:pPr>
        <w:pStyle w:val="0"/>
        <w:spacing w:before="240" w:lineRule="auto"/>
        <w:ind w:firstLine="540"/>
        <w:jc w:val="both"/>
      </w:pPr>
      <w:r>
        <w:rPr>
          <w:sz w:val="24"/>
        </w:rPr>
        <w:t xml:space="preserve">поселок Новое Тоскаево</w:t>
      </w:r>
    </w:p>
    <w:p>
      <w:pPr>
        <w:pStyle w:val="0"/>
        <w:spacing w:before="240" w:lineRule="auto"/>
        <w:ind w:firstLine="540"/>
        <w:jc w:val="both"/>
      </w:pPr>
      <w:r>
        <w:rPr>
          <w:sz w:val="24"/>
        </w:rPr>
        <w:t xml:space="preserve">поселок Петровка</w:t>
      </w:r>
    </w:p>
    <w:p>
      <w:pPr>
        <w:pStyle w:val="0"/>
        <w:jc w:val="both"/>
      </w:pPr>
      <w:r>
        <w:rPr>
          <w:sz w:val="24"/>
        </w:rPr>
      </w:r>
    </w:p>
    <w:p>
      <w:pPr>
        <w:pStyle w:val="2"/>
        <w:outlineLvl w:val="2"/>
        <w:jc w:val="center"/>
      </w:pPr>
      <w:r>
        <w:rPr>
          <w:sz w:val="24"/>
        </w:rPr>
        <w:t xml:space="preserve">Янтиковский муниципальный округ Чувашской Республики</w:t>
      </w:r>
    </w:p>
    <w:p>
      <w:pPr>
        <w:pStyle w:val="0"/>
        <w:jc w:val="both"/>
      </w:pPr>
      <w:r>
        <w:rPr>
          <w:sz w:val="24"/>
        </w:rPr>
      </w:r>
    </w:p>
    <w:p>
      <w:pPr>
        <w:pStyle w:val="0"/>
        <w:ind w:firstLine="540"/>
        <w:jc w:val="both"/>
      </w:pPr>
      <w:r>
        <w:rPr>
          <w:sz w:val="24"/>
        </w:rPr>
        <w:t xml:space="preserve">выселок Октябрь</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Правилам предоставления</w:t>
      </w:r>
    </w:p>
    <w:p>
      <w:pPr>
        <w:pStyle w:val="0"/>
        <w:jc w:val="right"/>
      </w:pPr>
      <w:r>
        <w:rPr>
          <w:sz w:val="24"/>
        </w:rPr>
        <w:t xml:space="preserve">из республиканского бюджета</w:t>
      </w:r>
    </w:p>
    <w:p>
      <w:pPr>
        <w:pStyle w:val="0"/>
        <w:jc w:val="right"/>
      </w:pPr>
      <w:r>
        <w:rPr>
          <w:sz w:val="24"/>
        </w:rPr>
        <w:t xml:space="preserve">Чувашской Республики субсидий</w:t>
      </w:r>
    </w:p>
    <w:p>
      <w:pPr>
        <w:pStyle w:val="0"/>
        <w:jc w:val="right"/>
      </w:pPr>
      <w:r>
        <w:rPr>
          <w:sz w:val="24"/>
        </w:rPr>
        <w:t xml:space="preserve">на возмещение части затрат</w:t>
      </w:r>
    </w:p>
    <w:p>
      <w:pPr>
        <w:pStyle w:val="0"/>
        <w:jc w:val="right"/>
      </w:pPr>
      <w:r>
        <w:rPr>
          <w:sz w:val="24"/>
        </w:rPr>
        <w:t xml:space="preserve">на приобретение мобильных</w:t>
      </w:r>
    </w:p>
    <w:p>
      <w:pPr>
        <w:pStyle w:val="0"/>
        <w:jc w:val="right"/>
      </w:pPr>
      <w:r>
        <w:rPr>
          <w:sz w:val="24"/>
        </w:rPr>
        <w:t xml:space="preserve">торговых объектов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Кабинета Министров ЧР от 08.04.2026 N 198)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CellMar>
          <w:top w:w="102" w:type="dxa"/>
          <w:left w:w="62" w:type="dxa"/>
          <w:bottom w:w="102" w:type="dxa"/>
          <w:right w:w="62" w:type="dxa"/>
        </w:tblCellMar>
      </w:tblPr>
      <w:tblGrid>
        <w:gridCol w:w="4441"/>
        <w:gridCol w:w="4533"/>
      </w:tblGrid>
      <w:tr>
        <w:tc>
          <w:tcPr>
            <w:tcW w:w="4441" w:type="dxa"/>
            <w:tcBorders>
              <w:top w:val="nil"/>
              <w:left w:val="nil"/>
              <w:bottom w:val="nil"/>
              <w:right w:val="nil"/>
            </w:tcBorders>
          </w:tcPr>
          <w:p>
            <w:pPr>
              <w:pStyle w:val="0"/>
            </w:pPr>
            <w:r>
              <w:rPr>
                <w:sz w:val="24"/>
              </w:rPr>
            </w:r>
          </w:p>
        </w:tc>
        <w:tc>
          <w:tcPr>
            <w:tcW w:w="4533" w:type="dxa"/>
            <w:tcBorders>
              <w:top w:val="nil"/>
              <w:left w:val="nil"/>
              <w:bottom w:val="nil"/>
              <w:right w:val="nil"/>
            </w:tcBorders>
          </w:tcPr>
          <w:p>
            <w:pPr>
              <w:pStyle w:val="0"/>
              <w:jc w:val="center"/>
            </w:pPr>
            <w:r>
              <w:rPr>
                <w:sz w:val="24"/>
              </w:rPr>
              <w:t xml:space="preserve">В Министерство экономического развития и имущественных отношений Чувашской Республики</w:t>
            </w:r>
          </w:p>
          <w:p>
            <w:pPr>
              <w:pStyle w:val="0"/>
              <w:jc w:val="both"/>
            </w:pPr>
            <w:r>
              <w:rPr>
                <w:sz w:val="24"/>
              </w:rPr>
              <w:t xml:space="preserve">____________________________________</w:t>
            </w:r>
          </w:p>
          <w:p>
            <w:pPr>
              <w:pStyle w:val="0"/>
              <w:jc w:val="center"/>
            </w:pPr>
            <w:r>
              <w:rPr>
                <w:sz w:val="24"/>
              </w:rPr>
              <w:t xml:space="preserve">(полное наименование организации, фамилия, имя, отчество (последнее - при наличии) индивидуального предпринимателя)</w:t>
            </w:r>
          </w:p>
          <w:p>
            <w:pPr>
              <w:pStyle w:val="0"/>
              <w:jc w:val="both"/>
            </w:pPr>
            <w:r>
              <w:rPr>
                <w:sz w:val="24"/>
              </w:rPr>
              <w:t xml:space="preserve">ИНН ______________________________</w:t>
            </w:r>
          </w:p>
          <w:p>
            <w:pPr>
              <w:pStyle w:val="0"/>
              <w:jc w:val="both"/>
            </w:pPr>
            <w:r>
              <w:rPr>
                <w:sz w:val="24"/>
              </w:rPr>
              <w:t xml:space="preserve">Юридический адрес _________________</w:t>
            </w:r>
          </w:p>
          <w:p>
            <w:pPr>
              <w:pStyle w:val="0"/>
              <w:jc w:val="both"/>
            </w:pPr>
            <w:r>
              <w:rPr>
                <w:sz w:val="24"/>
              </w:rPr>
              <w:t xml:space="preserve">___________________________________</w:t>
            </w:r>
          </w:p>
          <w:p>
            <w:pPr>
              <w:pStyle w:val="0"/>
              <w:jc w:val="both"/>
            </w:pPr>
            <w:r>
              <w:rPr>
                <w:sz w:val="24"/>
              </w:rPr>
              <w:t xml:space="preserve">Контактный телефон _________________</w:t>
            </w:r>
          </w:p>
          <w:p>
            <w:pPr>
              <w:pStyle w:val="0"/>
              <w:jc w:val="both"/>
            </w:pPr>
            <w:r>
              <w:rPr>
                <w:sz w:val="24"/>
              </w:rPr>
              <w:t xml:space="preserve">Адрес электронной почты _____________</w:t>
            </w:r>
          </w:p>
        </w:tc>
      </w:tr>
      <w:tr>
        <w:tc>
          <w:tcPr>
            <w:gridSpan w:val="2"/>
            <w:tcW w:w="8974" w:type="dxa"/>
            <w:tcBorders>
              <w:top w:val="nil"/>
              <w:left w:val="nil"/>
              <w:bottom w:val="nil"/>
              <w:right w:val="nil"/>
            </w:tcBorders>
          </w:tcPr>
          <w:bookmarkStart w:id="569" w:name="P569"/>
          <w:bookmarkEnd w:id="569"/>
          <w:p>
            <w:pPr>
              <w:pStyle w:val="0"/>
              <w:jc w:val="center"/>
            </w:pPr>
            <w:r>
              <w:rPr>
                <w:sz w:val="24"/>
                <w:b w:val="on"/>
              </w:rPr>
              <w:t xml:space="preserve">ЗАЯВЛЕНИЕ</w:t>
            </w:r>
          </w:p>
          <w:p>
            <w:pPr>
              <w:pStyle w:val="0"/>
              <w:jc w:val="center"/>
            </w:pPr>
            <w:r>
              <w:rPr>
                <w:sz w:val="24"/>
                <w:b w:val="on"/>
              </w:rPr>
              <w:t xml:space="preserve">о предоставлении субсидии на возмещение части затрат на приобретение мобильных торговых объектов</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408"/>
        <w:gridCol w:w="340"/>
        <w:gridCol w:w="717"/>
        <w:gridCol w:w="700"/>
        <w:gridCol w:w="624"/>
        <w:gridCol w:w="1293"/>
        <w:gridCol w:w="1509"/>
        <w:gridCol w:w="340"/>
        <w:gridCol w:w="2778"/>
        <w:gridCol w:w="340"/>
      </w:tblGrid>
      <w:tr>
        <w:tc>
          <w:tcPr>
            <w:gridSpan w:val="10"/>
            <w:tcW w:w="9049" w:type="dxa"/>
            <w:tcBorders>
              <w:top w:val="nil"/>
              <w:left w:val="nil"/>
              <w:bottom w:val="nil"/>
              <w:right w:val="nil"/>
            </w:tcBorders>
          </w:tcPr>
          <w:p>
            <w:pPr>
              <w:pStyle w:val="0"/>
              <w:ind w:firstLine="283"/>
              <w:jc w:val="both"/>
            </w:pPr>
            <w:r>
              <w:rPr>
                <w:sz w:val="24"/>
              </w:rPr>
              <w:t xml:space="preserve">Прошу предоставить из республиканского бюджета Чувашской Республики субсидию на возмещение части затрат на приобретение мобильных торговых объектов в целях осуществления выездной торговли в отдаленных малочисленных населенных пунктах Чувашской Республики.</w:t>
            </w:r>
          </w:p>
        </w:tc>
      </w:tr>
      <w:tr>
        <w:tc>
          <w:tcPr>
            <w:gridSpan w:val="5"/>
            <w:tcW w:w="2789" w:type="dxa"/>
            <w:tcBorders>
              <w:top w:val="nil"/>
              <w:left w:val="nil"/>
              <w:bottom w:val="nil"/>
              <w:right w:val="nil"/>
            </w:tcBorders>
          </w:tcPr>
          <w:p>
            <w:pPr>
              <w:pStyle w:val="0"/>
              <w:ind w:firstLine="283"/>
              <w:jc w:val="both"/>
            </w:pPr>
            <w:r>
              <w:rPr>
                <w:sz w:val="24"/>
              </w:rPr>
              <w:t xml:space="preserve">Подтверждаю(ем), что</w:t>
            </w:r>
          </w:p>
        </w:tc>
        <w:tc>
          <w:tcPr>
            <w:gridSpan w:val="5"/>
            <w:tcW w:w="6260" w:type="dxa"/>
            <w:tcBorders>
              <w:top w:val="nil"/>
              <w:left w:val="nil"/>
              <w:bottom w:val="single" w:sz="4"/>
              <w:right w:val="nil"/>
            </w:tcBorders>
          </w:tcPr>
          <w:p>
            <w:pPr>
              <w:pStyle w:val="0"/>
            </w:pPr>
            <w:r>
              <w:rPr>
                <w:sz w:val="24"/>
              </w:rPr>
            </w:r>
          </w:p>
        </w:tc>
      </w:tr>
      <w:tr>
        <w:tc>
          <w:tcPr>
            <w:gridSpan w:val="5"/>
            <w:tcW w:w="2789" w:type="dxa"/>
            <w:tcBorders>
              <w:top w:val="nil"/>
              <w:left w:val="nil"/>
              <w:bottom w:val="nil"/>
              <w:right w:val="nil"/>
            </w:tcBorders>
          </w:tcPr>
          <w:p>
            <w:pPr>
              <w:pStyle w:val="0"/>
            </w:pPr>
            <w:r>
              <w:rPr>
                <w:sz w:val="24"/>
              </w:rPr>
            </w:r>
          </w:p>
        </w:tc>
        <w:tc>
          <w:tcPr>
            <w:gridSpan w:val="5"/>
            <w:tcW w:w="6260" w:type="dxa"/>
            <w:tcBorders>
              <w:top w:val="single" w:sz="4"/>
              <w:left w:val="nil"/>
              <w:bottom w:val="nil"/>
              <w:right w:val="nil"/>
            </w:tcBorders>
          </w:tcPr>
          <w:p>
            <w:pPr>
              <w:pStyle w:val="0"/>
              <w:jc w:val="center"/>
            </w:pPr>
            <w:r>
              <w:rPr>
                <w:sz w:val="24"/>
              </w:rPr>
              <w:t xml:space="preserve">(полное наименование организации, фамилия, имя,</w:t>
            </w:r>
          </w:p>
        </w:tc>
      </w:tr>
      <w:tr>
        <w:tc>
          <w:tcPr>
            <w:gridSpan w:val="9"/>
            <w:tcW w:w="8709"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jc w:val="both"/>
            </w:pPr>
            <w:r>
              <w:rPr>
                <w:sz w:val="24"/>
              </w:rPr>
              <w:t xml:space="preserve">:</w:t>
            </w:r>
          </w:p>
        </w:tc>
      </w:tr>
      <w:tr>
        <w:tc>
          <w:tcPr>
            <w:gridSpan w:val="9"/>
            <w:tcW w:w="8709" w:type="dxa"/>
            <w:tcBorders>
              <w:top w:val="single" w:sz="4"/>
              <w:left w:val="nil"/>
              <w:bottom w:val="nil"/>
              <w:right w:val="nil"/>
            </w:tcBorders>
          </w:tcPr>
          <w:p>
            <w:pPr>
              <w:pStyle w:val="0"/>
              <w:jc w:val="center"/>
            </w:pPr>
            <w:r>
              <w:rPr>
                <w:sz w:val="24"/>
              </w:rPr>
              <w:t xml:space="preserve">отчество (последнее - при наличии) индивидуального предпринимателя)</w:t>
            </w:r>
          </w:p>
        </w:tc>
        <w:tc>
          <w:tcPr>
            <w:tcW w:w="340" w:type="dxa"/>
            <w:tcBorders>
              <w:top w:val="nil"/>
              <w:left w:val="nil"/>
              <w:bottom w:val="nil"/>
              <w:right w:val="nil"/>
            </w:tcBorders>
          </w:tcPr>
          <w:p>
            <w:pPr>
              <w:pStyle w:val="0"/>
            </w:pPr>
            <w:r>
              <w:rPr>
                <w:sz w:val="24"/>
              </w:rPr>
            </w:r>
          </w:p>
        </w:tc>
      </w:tr>
      <w:tr>
        <w:tc>
          <w:tcPr>
            <w:gridSpan w:val="10"/>
            <w:tcW w:w="9049" w:type="dxa"/>
            <w:tcBorders>
              <w:top w:val="nil"/>
              <w:left w:val="nil"/>
              <w:bottom w:val="nil"/>
              <w:right w:val="nil"/>
            </w:tcBorders>
          </w:tcPr>
          <w:p>
            <w:pPr>
              <w:pStyle w:val="0"/>
              <w:ind w:firstLine="283"/>
              <w:jc w:val="both"/>
            </w:pPr>
            <w:r>
              <w:rPr>
                <w:sz w:val="24"/>
              </w:rPr>
              <w:t xml:space="preserve">соответствует требованиям, предусмотренным </w:t>
            </w:r>
            <w:hyperlink w:history="0" w:anchor="P67" w:tooltip="2.1. Участник отбора на даты рассмотрения заявки и заключения соглашения должен соответствовать следующим требованиям:">
              <w:r>
                <w:rPr>
                  <w:sz w:val="24"/>
                  <w:color w:val="0000ff"/>
                </w:rPr>
                <w:t xml:space="preserve">пунктом 2.1</w:t>
              </w:r>
            </w:hyperlink>
            <w:r>
              <w:rPr>
                <w:sz w:val="24"/>
              </w:rPr>
              <w:t xml:space="preserve"> Правил предоставления из республиканского бюджета Чувашской Республики субсидий на возмещение части затрат на приобретение мобильных торговых объектов, утвержденных постановлением Кабинета Министров Чувашской Республики;</w:t>
            </w:r>
          </w:p>
          <w:p>
            <w:pPr>
              <w:pStyle w:val="0"/>
              <w:ind w:firstLine="283"/>
              <w:jc w:val="both"/>
            </w:pPr>
            <w:r>
              <w:rPr>
                <w:sz w:val="24"/>
              </w:rPr>
              <w:t xml:space="preserve">не является кредитной, страховой организацией (за исключением потребительских кооперативов), инвестиционным фондом, негосударственным пенсионным фондом, профессиональным участником рынка ценных бумаг, ломбардом, участником соглашений о разделе продукции;</w:t>
            </w:r>
          </w:p>
          <w:p>
            <w:pPr>
              <w:pStyle w:val="0"/>
              <w:ind w:firstLine="283"/>
              <w:jc w:val="both"/>
            </w:pPr>
            <w:r>
              <w:rPr>
                <w:sz w:val="24"/>
              </w:rPr>
              <w:t xml:space="preserve">не является в порядке, установленном законодательством Российской Федерации о валютном регулировании и валютном контроле, нерезидентом Российской Федерации, за исключением случаев, предусмотренных международными договорами Российской Федерации;</w:t>
            </w:r>
          </w:p>
          <w:p>
            <w:pPr>
              <w:pStyle w:val="0"/>
              <w:ind w:firstLine="283"/>
              <w:jc w:val="both"/>
            </w:pPr>
            <w:r>
              <w:rPr>
                <w:sz w:val="24"/>
              </w:rPr>
              <w:t xml:space="preserve">не осуществляет предпринимательскую деятельность в сфере игорного бизнеса;</w:t>
            </w:r>
          </w:p>
          <w:p>
            <w:pPr>
              <w:pStyle w:val="0"/>
              <w:ind w:firstLine="283"/>
              <w:jc w:val="both"/>
            </w:pPr>
            <w:r>
              <w:rPr>
                <w:sz w:val="24"/>
              </w:rPr>
              <w:t xml:space="preserve">использует (не использует) право на освобождение от исполнения обязанностей налогоплательщика, связанных с исчислением и уплатой налога на добавленную стоимость;</w:t>
            </w:r>
          </w:p>
          <w:p>
            <w:pPr>
              <w:pStyle w:val="0"/>
              <w:ind w:firstLine="283"/>
              <w:jc w:val="both"/>
            </w:pPr>
            <w:r>
              <w:rPr>
                <w:sz w:val="24"/>
              </w:rPr>
              <w:t xml:space="preserve">обязуется использовать мобильный торговый объект в том числе для организации развозной торговли не менее одного раза в неделю в течение трех лет с даты получения субсидии с охватом не менее чем пяти отдаленных малочисленных населенных пунктов, указанных в </w:t>
            </w:r>
            <w:hyperlink w:history="0" w:anchor="P368" w:tooltip="ПЕРЕЧЕНЬ">
              <w:r>
                <w:rPr>
                  <w:sz w:val="24"/>
                  <w:color w:val="0000ff"/>
                </w:rPr>
                <w:t xml:space="preserve">приложении N 1</w:t>
              </w:r>
            </w:hyperlink>
            <w:r>
              <w:rPr>
                <w:sz w:val="24"/>
              </w:rPr>
              <w:t xml:space="preserve"> к Правилам предоставления из республиканского бюджета Чувашской Республики субсидий на возмещение части затрат на приобретение мобильных торговых объектов, утвержденным постановлением Кабинета Министров Чувашской Республики, в ______________________________</w:t>
            </w:r>
          </w:p>
        </w:tc>
      </w:tr>
      <w:tr>
        <w:tc>
          <w:tcPr>
            <w:gridSpan w:val="10"/>
            <w:tcW w:w="9049" w:type="dxa"/>
            <w:tcBorders>
              <w:top w:val="nil"/>
              <w:left w:val="nil"/>
              <w:bottom w:val="single" w:sz="4"/>
              <w:right w:val="nil"/>
            </w:tcBorders>
          </w:tcPr>
          <w:p>
            <w:pPr>
              <w:pStyle w:val="0"/>
            </w:pPr>
            <w:r>
              <w:rPr>
                <w:sz w:val="24"/>
              </w:rPr>
            </w:r>
          </w:p>
        </w:tc>
      </w:tr>
      <w:tr>
        <w:tc>
          <w:tcPr>
            <w:gridSpan w:val="10"/>
            <w:tcW w:w="9049" w:type="dxa"/>
            <w:tcBorders>
              <w:top w:val="single" w:sz="4"/>
              <w:left w:val="nil"/>
              <w:bottom w:val="nil"/>
              <w:right w:val="nil"/>
            </w:tcBorders>
          </w:tcPr>
          <w:p>
            <w:pPr>
              <w:pStyle w:val="0"/>
              <w:jc w:val="center"/>
            </w:pPr>
            <w:r>
              <w:rPr>
                <w:sz w:val="24"/>
              </w:rPr>
              <w:t xml:space="preserve">(наименование муниципального(ых) округа(ов) Чувашской Республики)</w:t>
            </w:r>
          </w:p>
        </w:tc>
      </w:tr>
      <w:tr>
        <w:tc>
          <w:tcPr>
            <w:gridSpan w:val="10"/>
            <w:tcW w:w="9049" w:type="dxa"/>
            <w:tcBorders>
              <w:top w:val="nil"/>
              <w:left w:val="nil"/>
              <w:bottom w:val="nil"/>
              <w:right w:val="nil"/>
            </w:tcBorders>
          </w:tcPr>
          <w:p>
            <w:pPr>
              <w:pStyle w:val="0"/>
              <w:jc w:val="both"/>
            </w:pPr>
            <w:r>
              <w:rPr>
                <w:sz w:val="24"/>
              </w:rPr>
              <w:t xml:space="preserve">в течение срока действия соглашения о предоставлении субсидии из республиканского бюджета Чувашской Республики, заключенного между Министерством экономического развития и имущественных отношений Чувашской Республики и получателем субсидии в соответствии с типовой формой, установленной Министерством финансов Чувашской Республики для соглашений в системе "Электронный бюджет" (далее - соглашение) (при наличии технической возможности);</w:t>
            </w:r>
          </w:p>
          <w:p>
            <w:pPr>
              <w:pStyle w:val="0"/>
              <w:ind w:firstLine="283"/>
              <w:jc w:val="both"/>
            </w:pPr>
            <w:r>
              <w:rPr>
                <w:sz w:val="24"/>
              </w:rPr>
              <w:t xml:space="preserve">обязуется в добровольном порядке возвратить в республиканский бюджет Чувашской Республики сумму полученной субсидии на возмещение части затрат на приобретение мобильных торговых объектов пропорционально оставшемуся сроку действия соглашения в случае, если мобильный торговый объект будет продан или передан другому лицу по договору до истечения срока полного исполнения мною (нами) своих обязательств по соглашению.</w:t>
            </w:r>
          </w:p>
          <w:p>
            <w:pPr>
              <w:pStyle w:val="0"/>
              <w:ind w:firstLine="283"/>
              <w:jc w:val="both"/>
            </w:pPr>
            <w:r>
              <w:rPr>
                <w:sz w:val="24"/>
              </w:rPr>
              <w:t xml:space="preserve">Даю(ем) согласие на представление сведений, составляющих налоговую тайну, в соответствии с </w:t>
            </w:r>
            <w:r>
              <w:rPr>
                <w:sz w:val="24"/>
              </w:rPr>
              <w:t xml:space="preserve">подпунктом 1 пункта 1 статьи 102</w:t>
            </w:r>
            <w:r>
              <w:rPr>
                <w:sz w:val="24"/>
              </w:rPr>
              <w:t xml:space="preserve"> Налогового кодекса Российской Федерации.</w:t>
            </w:r>
          </w:p>
          <w:p>
            <w:pPr>
              <w:pStyle w:val="0"/>
              <w:ind w:firstLine="283"/>
              <w:jc w:val="both"/>
            </w:pPr>
            <w:r>
              <w:rPr>
                <w:sz w:val="24"/>
              </w:rPr>
              <w:t xml:space="preserve">Даю(ем) согласие на осуществление Министерством экономического развития и имущественных отношений Чувашской Республики проверки соблюдения мною (нами) порядка и условий предоставления субсидии, в том числе в части достижения результата предоставления субсидии, а также проверки органами государственного финансового контроля в соответствии со </w:t>
            </w:r>
            <w:r>
              <w:rPr>
                <w:sz w:val="24"/>
              </w:rPr>
              <w:t xml:space="preserve">статьями 268.1</w:t>
            </w:r>
            <w:r>
              <w:rPr>
                <w:sz w:val="24"/>
              </w:rPr>
              <w:t xml:space="preserve"> и </w:t>
            </w:r>
            <w:r>
              <w:rPr>
                <w:sz w:val="24"/>
              </w:rPr>
              <w:t xml:space="preserve">269.2</w:t>
            </w:r>
            <w:r>
              <w:rPr>
                <w:sz w:val="24"/>
              </w:rPr>
              <w:t xml:space="preserve"> Бюджетного кодекса Российской Федерации.</w:t>
            </w:r>
          </w:p>
          <w:p>
            <w:pPr>
              <w:pStyle w:val="0"/>
              <w:ind w:firstLine="283"/>
              <w:jc w:val="both"/>
            </w:pPr>
            <w:r>
              <w:rPr>
                <w:sz w:val="24"/>
              </w:rPr>
              <w:t xml:space="preserve">Платежные реквизиты для перечисления субсидии:</w:t>
            </w:r>
          </w:p>
        </w:tc>
      </w:tr>
      <w:tr>
        <w:tc>
          <w:tcPr>
            <w:gridSpan w:val="10"/>
            <w:tcW w:w="9049" w:type="dxa"/>
            <w:tcBorders>
              <w:top w:val="nil"/>
              <w:left w:val="nil"/>
              <w:bottom w:val="single" w:sz="4"/>
              <w:right w:val="nil"/>
            </w:tcBorders>
          </w:tcPr>
          <w:p>
            <w:pPr>
              <w:pStyle w:val="0"/>
            </w:pPr>
            <w:r>
              <w:rPr>
                <w:sz w:val="24"/>
              </w:rPr>
            </w:r>
          </w:p>
        </w:tc>
      </w:tr>
      <w:tr>
        <w:tc>
          <w:tcPr>
            <w:gridSpan w:val="10"/>
            <w:tcW w:w="9049" w:type="dxa"/>
            <w:tcBorders>
              <w:top w:val="single" w:sz="4"/>
              <w:left w:val="nil"/>
              <w:bottom w:val="nil"/>
              <w:right w:val="nil"/>
            </w:tcBorders>
          </w:tcPr>
          <w:p>
            <w:pPr>
              <w:pStyle w:val="0"/>
              <w:jc w:val="center"/>
            </w:pPr>
            <w:r>
              <w:rPr>
                <w:sz w:val="24"/>
              </w:rPr>
              <w:t xml:space="preserve">(наименование организации, фамилия, имя, отчество (последнее - при наличии)</w:t>
            </w:r>
          </w:p>
        </w:tc>
      </w:tr>
      <w:tr>
        <w:tc>
          <w:tcPr>
            <w:gridSpan w:val="10"/>
            <w:tcW w:w="9049" w:type="dxa"/>
            <w:tcBorders>
              <w:top w:val="nil"/>
              <w:left w:val="nil"/>
              <w:bottom w:val="single" w:sz="4"/>
              <w:right w:val="nil"/>
            </w:tcBorders>
          </w:tcPr>
          <w:p>
            <w:pPr>
              <w:pStyle w:val="0"/>
            </w:pPr>
            <w:r>
              <w:rPr>
                <w:sz w:val="24"/>
              </w:rPr>
            </w:r>
          </w:p>
        </w:tc>
      </w:tr>
      <w:tr>
        <w:tc>
          <w:tcPr>
            <w:gridSpan w:val="10"/>
            <w:tcW w:w="9049" w:type="dxa"/>
            <w:tcBorders>
              <w:top w:val="single" w:sz="4"/>
              <w:left w:val="nil"/>
              <w:bottom w:val="nil"/>
              <w:right w:val="nil"/>
            </w:tcBorders>
          </w:tcPr>
          <w:p>
            <w:pPr>
              <w:pStyle w:val="0"/>
              <w:jc w:val="center"/>
            </w:pPr>
            <w:r>
              <w:rPr>
                <w:sz w:val="24"/>
              </w:rPr>
              <w:t xml:space="preserve">индивидуального предпринимателя в соответствии с регистрацией в банке для открытия счета)</w:t>
            </w:r>
          </w:p>
        </w:tc>
      </w:tr>
      <w:tr>
        <w:tc>
          <w:tcPr>
            <w:gridSpan w:val="2"/>
            <w:tcW w:w="748" w:type="dxa"/>
            <w:tcBorders>
              <w:top w:val="nil"/>
              <w:left w:val="nil"/>
              <w:bottom w:val="nil"/>
              <w:right w:val="nil"/>
            </w:tcBorders>
          </w:tcPr>
          <w:p>
            <w:pPr>
              <w:pStyle w:val="0"/>
              <w:jc w:val="both"/>
            </w:pPr>
            <w:r>
              <w:rPr>
                <w:sz w:val="24"/>
              </w:rPr>
              <w:t xml:space="preserve">счет</w:t>
            </w:r>
          </w:p>
        </w:tc>
        <w:tc>
          <w:tcPr>
            <w:gridSpan w:val="8"/>
            <w:tcW w:w="8301" w:type="dxa"/>
            <w:tcBorders>
              <w:top w:val="nil"/>
              <w:left w:val="nil"/>
              <w:bottom w:val="single" w:sz="4"/>
              <w:right w:val="nil"/>
            </w:tcBorders>
          </w:tcPr>
          <w:p>
            <w:pPr>
              <w:pStyle w:val="0"/>
            </w:pPr>
            <w:r>
              <w:rPr>
                <w:sz w:val="24"/>
              </w:rPr>
            </w:r>
          </w:p>
        </w:tc>
      </w:tr>
      <w:tr>
        <w:tc>
          <w:tcPr>
            <w:tcW w:w="408" w:type="dxa"/>
            <w:tcBorders>
              <w:top w:val="nil"/>
              <w:left w:val="nil"/>
              <w:bottom w:val="nil"/>
              <w:right w:val="nil"/>
            </w:tcBorders>
          </w:tcPr>
          <w:p>
            <w:pPr>
              <w:pStyle w:val="0"/>
              <w:jc w:val="both"/>
            </w:pPr>
            <w:r>
              <w:rPr>
                <w:sz w:val="24"/>
              </w:rPr>
              <w:t xml:space="preserve">в</w:t>
            </w:r>
          </w:p>
        </w:tc>
        <w:tc>
          <w:tcPr>
            <w:gridSpan w:val="9"/>
            <w:tcW w:w="8641" w:type="dxa"/>
            <w:tcBorders>
              <w:top w:val="nil"/>
              <w:left w:val="nil"/>
              <w:bottom w:val="single" w:sz="4"/>
              <w:right w:val="nil"/>
            </w:tcBorders>
          </w:tcPr>
          <w:p>
            <w:pPr>
              <w:pStyle w:val="0"/>
            </w:pPr>
            <w:r>
              <w:rPr>
                <w:sz w:val="24"/>
              </w:rPr>
            </w:r>
          </w:p>
        </w:tc>
      </w:tr>
      <w:tr>
        <w:tc>
          <w:tcPr>
            <w:tcW w:w="408" w:type="dxa"/>
            <w:tcBorders>
              <w:top w:val="nil"/>
              <w:left w:val="nil"/>
              <w:bottom w:val="nil"/>
              <w:right w:val="nil"/>
            </w:tcBorders>
          </w:tcPr>
          <w:p>
            <w:pPr>
              <w:pStyle w:val="0"/>
            </w:pPr>
            <w:r>
              <w:rPr>
                <w:sz w:val="24"/>
              </w:rPr>
            </w:r>
          </w:p>
        </w:tc>
        <w:tc>
          <w:tcPr>
            <w:gridSpan w:val="9"/>
            <w:tcW w:w="8641" w:type="dxa"/>
            <w:tcBorders>
              <w:top w:val="single" w:sz="4"/>
              <w:left w:val="nil"/>
              <w:bottom w:val="nil"/>
              <w:right w:val="nil"/>
            </w:tcBorders>
          </w:tcPr>
          <w:p>
            <w:pPr>
              <w:pStyle w:val="0"/>
              <w:jc w:val="center"/>
            </w:pPr>
            <w:r>
              <w:rPr>
                <w:sz w:val="24"/>
              </w:rPr>
              <w:t xml:space="preserve">(наименование, ИНН банка)</w:t>
            </w:r>
          </w:p>
        </w:tc>
      </w:tr>
      <w:tr>
        <w:tc>
          <w:tcPr>
            <w:gridSpan w:val="3"/>
            <w:tcW w:w="1465" w:type="dxa"/>
            <w:tcBorders>
              <w:top w:val="nil"/>
              <w:left w:val="nil"/>
              <w:bottom w:val="nil"/>
              <w:right w:val="nil"/>
            </w:tcBorders>
          </w:tcPr>
          <w:p>
            <w:pPr>
              <w:pStyle w:val="0"/>
              <w:jc w:val="both"/>
            </w:pPr>
            <w:r>
              <w:rPr>
                <w:sz w:val="24"/>
              </w:rPr>
              <w:t xml:space="preserve">БИК банка</w:t>
            </w:r>
          </w:p>
        </w:tc>
        <w:tc>
          <w:tcPr>
            <w:gridSpan w:val="7"/>
            <w:tcW w:w="7584" w:type="dxa"/>
            <w:tcBorders>
              <w:top w:val="nil"/>
              <w:left w:val="nil"/>
              <w:bottom w:val="single" w:sz="4"/>
              <w:right w:val="nil"/>
            </w:tcBorders>
          </w:tcPr>
          <w:p>
            <w:pPr>
              <w:pStyle w:val="0"/>
            </w:pPr>
            <w:r>
              <w:rPr>
                <w:sz w:val="24"/>
              </w:rPr>
            </w:r>
          </w:p>
        </w:tc>
      </w:tr>
      <w:tr>
        <w:tc>
          <w:tcPr>
            <w:gridSpan w:val="4"/>
            <w:tcW w:w="2165" w:type="dxa"/>
            <w:tcBorders>
              <w:top w:val="nil"/>
              <w:left w:val="nil"/>
              <w:bottom w:val="nil"/>
              <w:right w:val="nil"/>
            </w:tcBorders>
          </w:tcPr>
          <w:p>
            <w:pPr>
              <w:pStyle w:val="0"/>
              <w:jc w:val="both"/>
            </w:pPr>
            <w:r>
              <w:rPr>
                <w:sz w:val="24"/>
              </w:rPr>
              <w:t xml:space="preserve">Корр. счет банка N</w:t>
            </w:r>
          </w:p>
        </w:tc>
        <w:tc>
          <w:tcPr>
            <w:gridSpan w:val="5"/>
            <w:tcW w:w="6544" w:type="dxa"/>
            <w:tcBorders>
              <w:top w:val="single" w:sz="4"/>
              <w:left w:val="nil"/>
              <w:bottom w:val="single" w:sz="4"/>
              <w:right w:val="nil"/>
            </w:tcBorders>
          </w:tcPr>
          <w:p>
            <w:pPr>
              <w:pStyle w:val="0"/>
            </w:pPr>
            <w:r>
              <w:rPr>
                <w:sz w:val="24"/>
              </w:rPr>
            </w:r>
          </w:p>
        </w:tc>
        <w:tc>
          <w:tcPr>
            <w:tcW w:w="340" w:type="dxa"/>
            <w:tcBorders>
              <w:top w:val="single" w:sz="4"/>
              <w:left w:val="nil"/>
              <w:bottom w:val="nil"/>
              <w:right w:val="nil"/>
            </w:tcBorders>
          </w:tcPr>
          <w:p>
            <w:pPr>
              <w:pStyle w:val="0"/>
              <w:jc w:val="both"/>
            </w:pPr>
            <w:r>
              <w:rPr>
                <w:sz w:val="24"/>
              </w:rPr>
              <w:t xml:space="preserve">.</w:t>
            </w:r>
          </w:p>
        </w:tc>
      </w:tr>
      <w:tr>
        <w:tc>
          <w:tcPr>
            <w:gridSpan w:val="10"/>
            <w:tcW w:w="9049" w:type="dxa"/>
            <w:tcBorders>
              <w:top w:val="nil"/>
              <w:left w:val="nil"/>
              <w:bottom w:val="nil"/>
              <w:right w:val="nil"/>
            </w:tcBorders>
          </w:tcPr>
          <w:p>
            <w:pPr>
              <w:pStyle w:val="0"/>
            </w:pPr>
            <w:r>
              <w:rPr>
                <w:sz w:val="24"/>
              </w:rPr>
            </w:r>
          </w:p>
        </w:tc>
      </w:tr>
      <w:tr>
        <w:tc>
          <w:tcPr>
            <w:gridSpan w:val="6"/>
            <w:tcW w:w="4082" w:type="dxa"/>
            <w:tcBorders>
              <w:top w:val="nil"/>
              <w:left w:val="nil"/>
              <w:bottom w:val="nil"/>
              <w:right w:val="nil"/>
            </w:tcBorders>
          </w:tcPr>
          <w:p>
            <w:pPr>
              <w:pStyle w:val="0"/>
              <w:jc w:val="both"/>
            </w:pPr>
            <w:r>
              <w:rPr>
                <w:sz w:val="24"/>
              </w:rPr>
              <w:t xml:space="preserve">Руководитель организации</w:t>
            </w:r>
          </w:p>
          <w:p>
            <w:pPr>
              <w:pStyle w:val="0"/>
              <w:jc w:val="both"/>
            </w:pPr>
            <w:r>
              <w:rPr>
                <w:sz w:val="24"/>
              </w:rPr>
              <w:t xml:space="preserve">(индивидуальный предприниматель)</w:t>
            </w:r>
          </w:p>
        </w:tc>
        <w:tc>
          <w:tcPr>
            <w:tcW w:w="1509"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gridSpan w:val="2"/>
            <w:tcW w:w="3118" w:type="dxa"/>
            <w:tcBorders>
              <w:top w:val="nil"/>
              <w:left w:val="nil"/>
              <w:bottom w:val="single" w:sz="4"/>
              <w:right w:val="nil"/>
            </w:tcBorders>
          </w:tcPr>
          <w:p>
            <w:pPr>
              <w:pStyle w:val="0"/>
            </w:pPr>
            <w:r>
              <w:rPr>
                <w:sz w:val="24"/>
              </w:rPr>
            </w:r>
          </w:p>
        </w:tc>
      </w:tr>
      <w:tr>
        <w:tc>
          <w:tcPr>
            <w:gridSpan w:val="6"/>
            <w:tcW w:w="4082" w:type="dxa"/>
            <w:tcBorders>
              <w:top w:val="nil"/>
              <w:left w:val="nil"/>
              <w:bottom w:val="nil"/>
              <w:right w:val="nil"/>
            </w:tcBorders>
          </w:tcPr>
          <w:p>
            <w:pPr>
              <w:pStyle w:val="0"/>
            </w:pPr>
            <w:r>
              <w:rPr>
                <w:sz w:val="24"/>
              </w:rPr>
            </w:r>
          </w:p>
        </w:tc>
        <w:tc>
          <w:tcPr>
            <w:tcW w:w="1509" w:type="dxa"/>
            <w:tcBorders>
              <w:top w:val="single" w:sz="4"/>
              <w:left w:val="nil"/>
              <w:bottom w:val="nil"/>
              <w:right w:val="nil"/>
            </w:tcBorders>
          </w:tcPr>
          <w:p>
            <w:pPr>
              <w:pStyle w:val="0"/>
              <w:jc w:val="center"/>
            </w:pPr>
            <w:r>
              <w:rPr>
                <w:sz w:val="24"/>
              </w:rPr>
              <w:t xml:space="preserve">(подпись)</w:t>
            </w:r>
          </w:p>
        </w:tc>
        <w:tc>
          <w:tcPr>
            <w:tcW w:w="340" w:type="dxa"/>
            <w:tcBorders>
              <w:top w:val="nil"/>
              <w:left w:val="nil"/>
              <w:bottom w:val="nil"/>
              <w:right w:val="nil"/>
            </w:tcBorders>
          </w:tcPr>
          <w:p>
            <w:pPr>
              <w:pStyle w:val="0"/>
            </w:pPr>
            <w:r>
              <w:rPr>
                <w:sz w:val="24"/>
              </w:rPr>
            </w:r>
          </w:p>
        </w:tc>
        <w:tc>
          <w:tcPr>
            <w:gridSpan w:val="2"/>
            <w:tcW w:w="3118" w:type="dxa"/>
            <w:tcBorders>
              <w:top w:val="single" w:sz="4"/>
              <w:left w:val="nil"/>
              <w:bottom w:val="nil"/>
              <w:right w:val="nil"/>
            </w:tcBorders>
          </w:tcPr>
          <w:p>
            <w:pPr>
              <w:pStyle w:val="0"/>
              <w:jc w:val="center"/>
            </w:pPr>
            <w:r>
              <w:rPr>
                <w:sz w:val="24"/>
              </w:rPr>
              <w:t xml:space="preserve">(фамилия, имя, отчество</w:t>
            </w:r>
          </w:p>
          <w:p>
            <w:pPr>
              <w:pStyle w:val="0"/>
              <w:jc w:val="center"/>
            </w:pPr>
            <w:r>
              <w:rPr>
                <w:sz w:val="24"/>
              </w:rPr>
              <w:t xml:space="preserve">(последнее - при наличии)</w:t>
            </w:r>
          </w:p>
        </w:tc>
      </w:tr>
      <w:tr>
        <w:tc>
          <w:tcPr>
            <w:gridSpan w:val="10"/>
            <w:tcW w:w="9049" w:type="dxa"/>
            <w:tcBorders>
              <w:top w:val="nil"/>
              <w:left w:val="nil"/>
              <w:bottom w:val="nil"/>
              <w:right w:val="nil"/>
            </w:tcBorders>
          </w:tcPr>
          <w:p>
            <w:pPr>
              <w:pStyle w:val="0"/>
              <w:jc w:val="both"/>
            </w:pPr>
            <w:r>
              <w:rPr>
                <w:sz w:val="24"/>
              </w:rPr>
              <w:t xml:space="preserve">____ ______________ 20___ г.</w:t>
            </w:r>
          </w:p>
          <w:p>
            <w:pPr>
              <w:pStyle w:val="0"/>
            </w:pPr>
            <w:r>
              <w:rPr>
                <w:sz w:val="24"/>
              </w:rPr>
            </w:r>
          </w:p>
          <w:p>
            <w:pPr>
              <w:pStyle w:val="0"/>
              <w:jc w:val="both"/>
            </w:pPr>
            <w:r>
              <w:rPr>
                <w:sz w:val="24"/>
              </w:rPr>
              <w:t xml:space="preserve">М.П. (при наличии)</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w:t>
      </w:r>
    </w:p>
    <w:p>
      <w:pPr>
        <w:pStyle w:val="0"/>
        <w:jc w:val="right"/>
      </w:pPr>
      <w:r>
        <w:rPr>
          <w:sz w:val="24"/>
        </w:rPr>
        <w:t xml:space="preserve">к Правилам предоставления</w:t>
      </w:r>
    </w:p>
    <w:p>
      <w:pPr>
        <w:pStyle w:val="0"/>
        <w:jc w:val="right"/>
      </w:pPr>
      <w:r>
        <w:rPr>
          <w:sz w:val="24"/>
        </w:rPr>
        <w:t xml:space="preserve">из республиканского бюджета</w:t>
      </w:r>
    </w:p>
    <w:p>
      <w:pPr>
        <w:pStyle w:val="0"/>
        <w:jc w:val="right"/>
      </w:pPr>
      <w:r>
        <w:rPr>
          <w:sz w:val="24"/>
        </w:rPr>
        <w:t xml:space="preserve">Чувашской Республики субсидий</w:t>
      </w:r>
    </w:p>
    <w:p>
      <w:pPr>
        <w:pStyle w:val="0"/>
        <w:jc w:val="right"/>
      </w:pPr>
      <w:r>
        <w:rPr>
          <w:sz w:val="24"/>
        </w:rPr>
        <w:t xml:space="preserve">на возмещение части затрат</w:t>
      </w:r>
    </w:p>
    <w:p>
      <w:pPr>
        <w:pStyle w:val="0"/>
        <w:jc w:val="right"/>
      </w:pPr>
      <w:r>
        <w:rPr>
          <w:sz w:val="24"/>
        </w:rPr>
        <w:t xml:space="preserve">на приобретение мобильных</w:t>
      </w:r>
    </w:p>
    <w:p>
      <w:pPr>
        <w:pStyle w:val="0"/>
        <w:jc w:val="right"/>
      </w:pPr>
      <w:r>
        <w:rPr>
          <w:sz w:val="24"/>
        </w:rPr>
        <w:t xml:space="preserve">торговых объектов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Кабинета Министров ЧР от 08.04.2026 N 198)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CellMar>
          <w:top w:w="102" w:type="dxa"/>
          <w:left w:w="62" w:type="dxa"/>
          <w:bottom w:w="102" w:type="dxa"/>
          <w:right w:w="62" w:type="dxa"/>
        </w:tblCellMar>
      </w:tblPr>
      <w:tblGrid>
        <w:gridCol w:w="3199"/>
        <w:gridCol w:w="3071"/>
        <w:gridCol w:w="2801"/>
      </w:tblGrid>
      <w:tr>
        <w:tc>
          <w:tcPr>
            <w:gridSpan w:val="3"/>
            <w:tcW w:w="9071" w:type="dxa"/>
            <w:tcBorders>
              <w:top w:val="nil"/>
              <w:left w:val="nil"/>
              <w:bottom w:val="nil"/>
              <w:right w:val="nil"/>
            </w:tcBorders>
          </w:tcPr>
          <w:bookmarkStart w:id="638" w:name="P638"/>
          <w:bookmarkEnd w:id="638"/>
          <w:p>
            <w:pPr>
              <w:pStyle w:val="0"/>
              <w:jc w:val="center"/>
            </w:pPr>
            <w:r>
              <w:rPr>
                <w:sz w:val="24"/>
                <w:b w:val="on"/>
              </w:rPr>
              <w:t xml:space="preserve">СПРАВКА-РАСЧЕТ</w:t>
            </w:r>
          </w:p>
          <w:p>
            <w:pPr>
              <w:pStyle w:val="0"/>
              <w:jc w:val="center"/>
            </w:pPr>
            <w:r>
              <w:rPr>
                <w:sz w:val="24"/>
                <w:b w:val="on"/>
              </w:rPr>
              <w:t xml:space="preserve">на получение из республиканского бюджета Чувашской Республики</w:t>
            </w:r>
          </w:p>
          <w:p>
            <w:pPr>
              <w:pStyle w:val="0"/>
              <w:jc w:val="center"/>
            </w:pPr>
            <w:r>
              <w:rPr>
                <w:sz w:val="24"/>
                <w:b w:val="on"/>
              </w:rPr>
              <w:t xml:space="preserve">субсидии на возмещение части затрат на приобретение мобильных</w:t>
            </w:r>
          </w:p>
          <w:p>
            <w:pPr>
              <w:pStyle w:val="0"/>
              <w:jc w:val="center"/>
            </w:pPr>
            <w:r>
              <w:rPr>
                <w:sz w:val="24"/>
                <w:b w:val="on"/>
              </w:rPr>
              <w:t xml:space="preserve">торговых объектов</w:t>
            </w:r>
          </w:p>
        </w:tc>
      </w:tr>
      <w:tr>
        <w:tc>
          <w:tcPr>
            <w:gridSpan w:val="3"/>
            <w:tcW w:w="9071" w:type="dxa"/>
            <w:tcBorders>
              <w:top w:val="nil"/>
              <w:left w:val="nil"/>
              <w:bottom w:val="single" w:sz="4"/>
              <w:right w:val="nil"/>
            </w:tcBorders>
          </w:tcPr>
          <w:p>
            <w:pPr>
              <w:pStyle w:val="0"/>
            </w:pPr>
            <w:r>
              <w:rPr>
                <w:sz w:val="24"/>
              </w:rPr>
            </w:r>
          </w:p>
        </w:tc>
      </w:tr>
      <w:tr>
        <w:tc>
          <w:tcPr>
            <w:gridSpan w:val="3"/>
            <w:tcW w:w="9071" w:type="dxa"/>
            <w:tcBorders>
              <w:top w:val="single" w:sz="4"/>
              <w:left w:val="nil"/>
              <w:bottom w:val="nil"/>
              <w:right w:val="nil"/>
            </w:tcBorders>
          </w:tcPr>
          <w:p>
            <w:pPr>
              <w:pStyle w:val="0"/>
              <w:jc w:val="center"/>
            </w:pPr>
            <w:r>
              <w:rPr>
                <w:sz w:val="24"/>
              </w:rPr>
              <w:t xml:space="preserve">(полное наименование организации, фамилия, имя,</w:t>
            </w:r>
          </w:p>
        </w:tc>
      </w:tr>
      <w:tr>
        <w:tc>
          <w:tcPr>
            <w:gridSpan w:val="3"/>
            <w:tcW w:w="9071" w:type="dxa"/>
            <w:tcBorders>
              <w:top w:val="nil"/>
              <w:left w:val="nil"/>
              <w:bottom w:val="single" w:sz="4"/>
              <w:right w:val="nil"/>
            </w:tcBorders>
          </w:tcPr>
          <w:p>
            <w:pPr>
              <w:pStyle w:val="0"/>
            </w:pPr>
            <w:r>
              <w:rPr>
                <w:sz w:val="24"/>
              </w:rPr>
            </w:r>
          </w:p>
        </w:tc>
      </w:tr>
      <w:tr>
        <w:tc>
          <w:tcPr>
            <w:gridSpan w:val="3"/>
            <w:tcW w:w="9071" w:type="dxa"/>
            <w:tcBorders>
              <w:top w:val="single" w:sz="4"/>
              <w:left w:val="nil"/>
              <w:bottom w:val="nil"/>
              <w:right w:val="nil"/>
            </w:tcBorders>
          </w:tcPr>
          <w:p>
            <w:pPr>
              <w:pStyle w:val="0"/>
              <w:jc w:val="center"/>
            </w:pPr>
            <w:r>
              <w:rPr>
                <w:sz w:val="24"/>
              </w:rPr>
              <w:t xml:space="preserve">отчество (последнее - при наличии) индивидуального предпринимателя)</w:t>
            </w:r>
          </w:p>
        </w:tc>
      </w:tr>
      <w:tr>
        <w:tc>
          <w:tcPr>
            <w:tcW w:w="3199" w:type="dxa"/>
            <w:tcBorders>
              <w:top w:val="nil"/>
              <w:left w:val="nil"/>
              <w:bottom w:val="nil"/>
              <w:right w:val="nil"/>
            </w:tcBorders>
          </w:tcPr>
          <w:p>
            <w:pPr>
              <w:pStyle w:val="0"/>
              <w:jc w:val="right"/>
            </w:pPr>
            <w:r>
              <w:rPr>
                <w:sz w:val="24"/>
              </w:rPr>
              <w:t xml:space="preserve">ИНН/КПП</w:t>
            </w:r>
          </w:p>
        </w:tc>
        <w:tc>
          <w:tcPr>
            <w:tcW w:w="3071" w:type="dxa"/>
            <w:tcBorders>
              <w:top w:val="nil"/>
              <w:left w:val="nil"/>
              <w:bottom w:val="single" w:sz="4"/>
              <w:right w:val="nil"/>
            </w:tcBorders>
          </w:tcPr>
          <w:p>
            <w:pPr>
              <w:pStyle w:val="0"/>
            </w:pPr>
            <w:r>
              <w:rPr>
                <w:sz w:val="24"/>
              </w:rPr>
            </w:r>
          </w:p>
        </w:tc>
        <w:tc>
          <w:tcPr>
            <w:tcW w:w="2801" w:type="dxa"/>
            <w:tcBorders>
              <w:top w:val="nil"/>
              <w:left w:val="nil"/>
              <w:bottom w:val="nil"/>
              <w:right w:val="nil"/>
            </w:tcBorders>
          </w:tcPr>
          <w:p>
            <w:pPr>
              <w:pStyle w:val="0"/>
            </w:pPr>
            <w:r>
              <w:rPr>
                <w:sz w:val="24"/>
              </w:rPr>
            </w: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361"/>
        <w:gridCol w:w="1417"/>
        <w:gridCol w:w="1909"/>
        <w:gridCol w:w="1594"/>
        <w:gridCol w:w="1077"/>
        <w:gridCol w:w="754"/>
        <w:gridCol w:w="829"/>
        <w:gridCol w:w="1144"/>
        <w:gridCol w:w="1084"/>
        <w:gridCol w:w="2419"/>
      </w:tblGrid>
      <w:tr>
        <w:tc>
          <w:tcPr>
            <w:tcW w:w="1361" w:type="dxa"/>
            <w:tcBorders>
              <w:left w:val="nil"/>
            </w:tcBorders>
            <w:vMerge w:val="restart"/>
          </w:tcPr>
          <w:p>
            <w:pPr>
              <w:pStyle w:val="0"/>
              <w:jc w:val="center"/>
            </w:pPr>
            <w:r>
              <w:rPr>
                <w:sz w:val="24"/>
              </w:rPr>
              <w:t xml:space="preserve">Наименование мобильного торгового объекта</w:t>
            </w:r>
          </w:p>
        </w:tc>
        <w:tc>
          <w:tcPr>
            <w:tcW w:w="1417" w:type="dxa"/>
            <w:vMerge w:val="restart"/>
          </w:tcPr>
          <w:p>
            <w:pPr>
              <w:pStyle w:val="0"/>
              <w:jc w:val="center"/>
            </w:pPr>
            <w:r>
              <w:rPr>
                <w:sz w:val="24"/>
              </w:rPr>
              <w:t xml:space="preserve">Идентификационный номер (заводской номер, серийный номер, VIN)</w:t>
            </w:r>
          </w:p>
        </w:tc>
        <w:tc>
          <w:tcPr>
            <w:tcW w:w="1909" w:type="dxa"/>
            <w:vMerge w:val="restart"/>
          </w:tcPr>
          <w:p>
            <w:pPr>
              <w:pStyle w:val="0"/>
              <w:jc w:val="center"/>
            </w:pPr>
            <w:r>
              <w:rPr>
                <w:sz w:val="24"/>
              </w:rPr>
              <w:t xml:space="preserve">Дата и номер договора купли-продажи (поставки) мобильного торгового объекта, товарных накладных, счетов-фактур, универсальных передаточных документов, актов приема-передачи</w:t>
            </w:r>
          </w:p>
        </w:tc>
        <w:tc>
          <w:tcPr>
            <w:tcW w:w="1594" w:type="dxa"/>
            <w:vMerge w:val="restart"/>
          </w:tcPr>
          <w:p>
            <w:pPr>
              <w:pStyle w:val="0"/>
              <w:jc w:val="center"/>
            </w:pPr>
            <w:r>
              <w:rPr>
                <w:sz w:val="24"/>
              </w:rPr>
              <w:t xml:space="preserve">Стоимость по договору о приобретении мобильного торгового объекта (без учета затрат на уплату налога на добавленную стоимость для плательщиков налога на добавленную стоимость), рублей</w:t>
            </w:r>
          </w:p>
        </w:tc>
        <w:tc>
          <w:tcPr>
            <w:gridSpan w:val="3"/>
            <w:tcW w:w="2660" w:type="dxa"/>
          </w:tcPr>
          <w:p>
            <w:pPr>
              <w:pStyle w:val="0"/>
              <w:jc w:val="center"/>
            </w:pPr>
            <w:r>
              <w:rPr>
                <w:sz w:val="24"/>
              </w:rPr>
              <w:t xml:space="preserve">Платежные (расчетные) документы, подтверждающие фактическую оплату мобильного торгового объекта</w:t>
            </w:r>
          </w:p>
        </w:tc>
        <w:tc>
          <w:tcPr>
            <w:tcW w:w="1144" w:type="dxa"/>
            <w:vMerge w:val="restart"/>
          </w:tcPr>
          <w:p>
            <w:pPr>
              <w:pStyle w:val="0"/>
              <w:jc w:val="center"/>
            </w:pPr>
            <w:r>
              <w:rPr>
                <w:sz w:val="24"/>
              </w:rPr>
              <w:t xml:space="preserve">Ставка субсидии, %</w:t>
            </w:r>
          </w:p>
        </w:tc>
        <w:tc>
          <w:tcPr>
            <w:tcW w:w="1084" w:type="dxa"/>
            <w:vMerge w:val="restart"/>
          </w:tcPr>
          <w:p>
            <w:pPr>
              <w:pStyle w:val="0"/>
              <w:jc w:val="center"/>
            </w:pPr>
            <w:r>
              <w:rPr>
                <w:sz w:val="24"/>
              </w:rPr>
              <w:t xml:space="preserve">Расчет размера субсидии (графа 7 x графа 8), рублей</w:t>
            </w:r>
          </w:p>
        </w:tc>
        <w:tc>
          <w:tcPr>
            <w:tcW w:w="2419" w:type="dxa"/>
            <w:tcBorders>
              <w:right w:val="nil"/>
            </w:tcBorders>
            <w:vMerge w:val="restart"/>
          </w:tcPr>
          <w:p>
            <w:pPr>
              <w:pStyle w:val="0"/>
              <w:jc w:val="center"/>
            </w:pPr>
            <w:r>
              <w:rPr>
                <w:sz w:val="24"/>
              </w:rPr>
              <w:t xml:space="preserve">Размер предоставляемой субсидии (значение графы 9, но не более 1,4 млн. рублей на одного получателя субсидии, не признанного ответственным субъектом предпринимательской деятельности в Чувашской Республике, не более 1,47 млн. рублей на одного получателя субсидии, признанного ответственным субъектом предпринимательской деятельности в Чувашской Республике)</w:t>
            </w:r>
          </w:p>
        </w:tc>
      </w:tr>
      <w:tr>
        <w:tc>
          <w:tcPr>
            <w:tcBorders>
              <w:left w:val="nil"/>
            </w:tcBorders>
            <w:vMerge w:val="continue"/>
          </w:tcPr>
          <w:p/>
        </w:tc>
        <w:tc>
          <w:tcPr>
            <w:vMerge w:val="continue"/>
          </w:tcPr>
          <w:p/>
        </w:tc>
        <w:tc>
          <w:tcPr>
            <w:vMerge w:val="continue"/>
          </w:tcPr>
          <w:p/>
        </w:tc>
        <w:tc>
          <w:tcPr>
            <w:vMerge w:val="continue"/>
          </w:tcPr>
          <w:p/>
        </w:tc>
        <w:tc>
          <w:tcPr>
            <w:tcW w:w="1077" w:type="dxa"/>
          </w:tcPr>
          <w:p>
            <w:pPr>
              <w:pStyle w:val="0"/>
              <w:jc w:val="center"/>
            </w:pPr>
            <w:r>
              <w:rPr>
                <w:sz w:val="24"/>
              </w:rPr>
              <w:t xml:space="preserve">наименование</w:t>
            </w:r>
          </w:p>
        </w:tc>
        <w:tc>
          <w:tcPr>
            <w:tcW w:w="754" w:type="dxa"/>
          </w:tcPr>
          <w:p>
            <w:pPr>
              <w:pStyle w:val="0"/>
              <w:jc w:val="center"/>
            </w:pPr>
            <w:r>
              <w:rPr>
                <w:sz w:val="24"/>
              </w:rPr>
              <w:t xml:space="preserve">номер и дата</w:t>
            </w:r>
          </w:p>
        </w:tc>
        <w:tc>
          <w:tcPr>
            <w:tcW w:w="829" w:type="dxa"/>
          </w:tcPr>
          <w:p>
            <w:pPr>
              <w:pStyle w:val="0"/>
              <w:jc w:val="center"/>
            </w:pPr>
            <w:r>
              <w:rPr>
                <w:sz w:val="24"/>
              </w:rPr>
              <w:t xml:space="preserve">сумма, рублей</w:t>
            </w:r>
          </w:p>
        </w:tc>
        <w:tc>
          <w:tcPr>
            <w:vMerge w:val="continue"/>
          </w:tcPr>
          <w:p/>
        </w:tc>
        <w:tc>
          <w:tcPr>
            <w:vMerge w:val="continue"/>
          </w:tcPr>
          <w:p/>
        </w:tc>
        <w:tc>
          <w:tcPr>
            <w:tcBorders>
              <w:right w:val="nil"/>
            </w:tcBorders>
            <w:vMerge w:val="continue"/>
          </w:tcPr>
          <w:p/>
        </w:tc>
      </w:tr>
      <w:tr>
        <w:tc>
          <w:tcPr>
            <w:tcW w:w="1361" w:type="dxa"/>
            <w:tcBorders>
              <w:left w:val="nil"/>
            </w:tcBorders>
          </w:tcPr>
          <w:p>
            <w:pPr>
              <w:pStyle w:val="0"/>
              <w:jc w:val="center"/>
            </w:pPr>
            <w:r>
              <w:rPr>
                <w:sz w:val="24"/>
              </w:rPr>
              <w:t xml:space="preserve">1</w:t>
            </w:r>
          </w:p>
        </w:tc>
        <w:tc>
          <w:tcPr>
            <w:tcW w:w="1417" w:type="dxa"/>
          </w:tcPr>
          <w:p>
            <w:pPr>
              <w:pStyle w:val="0"/>
              <w:jc w:val="center"/>
            </w:pPr>
            <w:r>
              <w:rPr>
                <w:sz w:val="24"/>
              </w:rPr>
              <w:t xml:space="preserve">2</w:t>
            </w:r>
          </w:p>
        </w:tc>
        <w:tc>
          <w:tcPr>
            <w:tcW w:w="1909" w:type="dxa"/>
          </w:tcPr>
          <w:p>
            <w:pPr>
              <w:pStyle w:val="0"/>
              <w:jc w:val="center"/>
            </w:pPr>
            <w:r>
              <w:rPr>
                <w:sz w:val="24"/>
              </w:rPr>
              <w:t xml:space="preserve">3</w:t>
            </w:r>
          </w:p>
        </w:tc>
        <w:tc>
          <w:tcPr>
            <w:tcW w:w="1594" w:type="dxa"/>
          </w:tcPr>
          <w:p>
            <w:pPr>
              <w:pStyle w:val="0"/>
              <w:jc w:val="center"/>
            </w:pPr>
            <w:r>
              <w:rPr>
                <w:sz w:val="24"/>
              </w:rPr>
              <w:t xml:space="preserve">4</w:t>
            </w:r>
          </w:p>
        </w:tc>
        <w:tc>
          <w:tcPr>
            <w:tcW w:w="1077" w:type="dxa"/>
          </w:tcPr>
          <w:p>
            <w:pPr>
              <w:pStyle w:val="0"/>
              <w:jc w:val="center"/>
            </w:pPr>
            <w:r>
              <w:rPr>
                <w:sz w:val="24"/>
              </w:rPr>
              <w:t xml:space="preserve">5</w:t>
            </w:r>
          </w:p>
        </w:tc>
        <w:tc>
          <w:tcPr>
            <w:tcW w:w="754" w:type="dxa"/>
          </w:tcPr>
          <w:p>
            <w:pPr>
              <w:pStyle w:val="0"/>
              <w:jc w:val="center"/>
            </w:pPr>
            <w:r>
              <w:rPr>
                <w:sz w:val="24"/>
              </w:rPr>
              <w:t xml:space="preserve">6</w:t>
            </w:r>
          </w:p>
        </w:tc>
        <w:tc>
          <w:tcPr>
            <w:tcW w:w="829" w:type="dxa"/>
          </w:tcPr>
          <w:p>
            <w:pPr>
              <w:pStyle w:val="0"/>
              <w:jc w:val="center"/>
            </w:pPr>
            <w:r>
              <w:rPr>
                <w:sz w:val="24"/>
              </w:rPr>
              <w:t xml:space="preserve">7</w:t>
            </w:r>
          </w:p>
        </w:tc>
        <w:tc>
          <w:tcPr>
            <w:tcW w:w="1144" w:type="dxa"/>
          </w:tcPr>
          <w:p>
            <w:pPr>
              <w:pStyle w:val="0"/>
              <w:jc w:val="center"/>
            </w:pPr>
            <w:r>
              <w:rPr>
                <w:sz w:val="24"/>
              </w:rPr>
              <w:t xml:space="preserve">8</w:t>
            </w:r>
          </w:p>
        </w:tc>
        <w:tc>
          <w:tcPr>
            <w:tcW w:w="1084" w:type="dxa"/>
          </w:tcPr>
          <w:p>
            <w:pPr>
              <w:pStyle w:val="0"/>
              <w:jc w:val="center"/>
            </w:pPr>
            <w:r>
              <w:rPr>
                <w:sz w:val="24"/>
              </w:rPr>
              <w:t xml:space="preserve">9</w:t>
            </w:r>
          </w:p>
        </w:tc>
        <w:tc>
          <w:tcPr>
            <w:tcW w:w="2419" w:type="dxa"/>
            <w:tcBorders>
              <w:right w:val="nil"/>
            </w:tcBorders>
          </w:tcPr>
          <w:p>
            <w:pPr>
              <w:pStyle w:val="0"/>
              <w:jc w:val="center"/>
            </w:pPr>
            <w:r>
              <w:rPr>
                <w:sz w:val="24"/>
              </w:rPr>
              <w:t xml:space="preserve">10</w:t>
            </w:r>
          </w:p>
        </w:tc>
      </w:tr>
      <w:tr>
        <w:tc>
          <w:tcPr>
            <w:tcW w:w="1361" w:type="dxa"/>
            <w:tcBorders>
              <w:left w:val="nil"/>
            </w:tcBorders>
          </w:tcPr>
          <w:p>
            <w:pPr>
              <w:pStyle w:val="0"/>
            </w:pPr>
            <w:r>
              <w:rPr>
                <w:sz w:val="24"/>
              </w:rPr>
            </w:r>
          </w:p>
        </w:tc>
        <w:tc>
          <w:tcPr>
            <w:tcW w:w="1417" w:type="dxa"/>
          </w:tcPr>
          <w:p>
            <w:pPr>
              <w:pStyle w:val="0"/>
            </w:pPr>
            <w:r>
              <w:rPr>
                <w:sz w:val="24"/>
              </w:rPr>
            </w:r>
          </w:p>
        </w:tc>
        <w:tc>
          <w:tcPr>
            <w:tcW w:w="1909" w:type="dxa"/>
          </w:tcPr>
          <w:p>
            <w:pPr>
              <w:pStyle w:val="0"/>
            </w:pPr>
            <w:r>
              <w:rPr>
                <w:sz w:val="24"/>
              </w:rPr>
            </w:r>
          </w:p>
        </w:tc>
        <w:tc>
          <w:tcPr>
            <w:tcW w:w="1594" w:type="dxa"/>
          </w:tcPr>
          <w:p>
            <w:pPr>
              <w:pStyle w:val="0"/>
            </w:pPr>
            <w:r>
              <w:rPr>
                <w:sz w:val="24"/>
              </w:rPr>
            </w:r>
          </w:p>
        </w:tc>
        <w:tc>
          <w:tcPr>
            <w:tcW w:w="1077" w:type="dxa"/>
          </w:tcPr>
          <w:p>
            <w:pPr>
              <w:pStyle w:val="0"/>
            </w:pPr>
            <w:r>
              <w:rPr>
                <w:sz w:val="24"/>
              </w:rPr>
            </w:r>
          </w:p>
        </w:tc>
        <w:tc>
          <w:tcPr>
            <w:tcW w:w="754" w:type="dxa"/>
          </w:tcPr>
          <w:p>
            <w:pPr>
              <w:pStyle w:val="0"/>
            </w:pPr>
            <w:r>
              <w:rPr>
                <w:sz w:val="24"/>
              </w:rPr>
            </w:r>
          </w:p>
        </w:tc>
        <w:tc>
          <w:tcPr>
            <w:tcW w:w="829" w:type="dxa"/>
          </w:tcPr>
          <w:p>
            <w:pPr>
              <w:pStyle w:val="0"/>
            </w:pPr>
            <w:r>
              <w:rPr>
                <w:sz w:val="24"/>
              </w:rPr>
            </w:r>
          </w:p>
        </w:tc>
        <w:tc>
          <w:tcPr>
            <w:tcW w:w="1144" w:type="dxa"/>
          </w:tcPr>
          <w:p>
            <w:pPr>
              <w:pStyle w:val="0"/>
              <w:jc w:val="center"/>
            </w:pPr>
            <w:r>
              <w:rPr>
                <w:sz w:val="24"/>
              </w:rPr>
              <w:t xml:space="preserve">30</w:t>
            </w:r>
          </w:p>
        </w:tc>
        <w:tc>
          <w:tcPr>
            <w:tcW w:w="1084" w:type="dxa"/>
          </w:tcPr>
          <w:p>
            <w:pPr>
              <w:pStyle w:val="0"/>
            </w:pPr>
            <w:r>
              <w:rPr>
                <w:sz w:val="24"/>
              </w:rPr>
            </w:r>
          </w:p>
        </w:tc>
        <w:tc>
          <w:tcPr>
            <w:tcW w:w="2419" w:type="dxa"/>
            <w:tcBorders>
              <w:right w:val="nil"/>
            </w:tcBorders>
          </w:tcPr>
          <w:p>
            <w:pPr>
              <w:pStyle w:val="0"/>
            </w:pPr>
            <w:r>
              <w:rPr>
                <w:sz w:val="24"/>
              </w:rPr>
            </w:r>
          </w:p>
        </w:tc>
      </w:tr>
      <w:tr>
        <w:tc>
          <w:tcPr>
            <w:tcW w:w="1361" w:type="dxa"/>
            <w:tcBorders>
              <w:left w:val="nil"/>
            </w:tcBorders>
          </w:tcPr>
          <w:p>
            <w:pPr>
              <w:pStyle w:val="0"/>
            </w:pPr>
            <w:r>
              <w:rPr>
                <w:sz w:val="24"/>
              </w:rPr>
            </w:r>
          </w:p>
        </w:tc>
        <w:tc>
          <w:tcPr>
            <w:tcW w:w="1417" w:type="dxa"/>
          </w:tcPr>
          <w:p>
            <w:pPr>
              <w:pStyle w:val="0"/>
            </w:pPr>
            <w:r>
              <w:rPr>
                <w:sz w:val="24"/>
              </w:rPr>
            </w:r>
          </w:p>
        </w:tc>
        <w:tc>
          <w:tcPr>
            <w:tcW w:w="1909" w:type="dxa"/>
          </w:tcPr>
          <w:p>
            <w:pPr>
              <w:pStyle w:val="0"/>
            </w:pPr>
            <w:r>
              <w:rPr>
                <w:sz w:val="24"/>
              </w:rPr>
            </w:r>
          </w:p>
        </w:tc>
        <w:tc>
          <w:tcPr>
            <w:tcW w:w="1594" w:type="dxa"/>
          </w:tcPr>
          <w:p>
            <w:pPr>
              <w:pStyle w:val="0"/>
            </w:pPr>
            <w:r>
              <w:rPr>
                <w:sz w:val="24"/>
              </w:rPr>
            </w:r>
          </w:p>
        </w:tc>
        <w:tc>
          <w:tcPr>
            <w:tcW w:w="1077" w:type="dxa"/>
          </w:tcPr>
          <w:p>
            <w:pPr>
              <w:pStyle w:val="0"/>
            </w:pPr>
            <w:r>
              <w:rPr>
                <w:sz w:val="24"/>
              </w:rPr>
            </w:r>
          </w:p>
        </w:tc>
        <w:tc>
          <w:tcPr>
            <w:tcW w:w="754" w:type="dxa"/>
          </w:tcPr>
          <w:p>
            <w:pPr>
              <w:pStyle w:val="0"/>
            </w:pPr>
            <w:r>
              <w:rPr>
                <w:sz w:val="24"/>
              </w:rPr>
            </w:r>
          </w:p>
        </w:tc>
        <w:tc>
          <w:tcPr>
            <w:tcW w:w="829" w:type="dxa"/>
          </w:tcPr>
          <w:p>
            <w:pPr>
              <w:pStyle w:val="0"/>
            </w:pPr>
            <w:r>
              <w:rPr>
                <w:sz w:val="24"/>
              </w:rPr>
            </w:r>
          </w:p>
        </w:tc>
        <w:tc>
          <w:tcPr>
            <w:tcW w:w="1144" w:type="dxa"/>
          </w:tcPr>
          <w:p>
            <w:pPr>
              <w:pStyle w:val="0"/>
            </w:pPr>
            <w:r>
              <w:rPr>
                <w:sz w:val="24"/>
              </w:rPr>
            </w:r>
          </w:p>
        </w:tc>
        <w:tc>
          <w:tcPr>
            <w:tcW w:w="1084" w:type="dxa"/>
          </w:tcPr>
          <w:p>
            <w:pPr>
              <w:pStyle w:val="0"/>
            </w:pPr>
            <w:r>
              <w:rPr>
                <w:sz w:val="24"/>
              </w:rPr>
            </w:r>
          </w:p>
        </w:tc>
        <w:tc>
          <w:tcPr>
            <w:tcW w:w="2419" w:type="dxa"/>
            <w:tcBorders>
              <w:right w:val="nil"/>
            </w:tcBorders>
          </w:tcPr>
          <w:p>
            <w:pPr>
              <w:pStyle w:val="0"/>
            </w:pPr>
            <w:r>
              <w:rPr>
                <w:sz w:val="24"/>
              </w:rPr>
            </w:r>
          </w:p>
        </w:tc>
      </w:tr>
      <w:tr>
        <w:tc>
          <w:tcPr>
            <w:tcW w:w="1361" w:type="dxa"/>
            <w:tcBorders>
              <w:left w:val="nil"/>
            </w:tcBorders>
          </w:tcPr>
          <w:p>
            <w:pPr>
              <w:pStyle w:val="0"/>
              <w:jc w:val="both"/>
            </w:pPr>
            <w:r>
              <w:rPr>
                <w:sz w:val="24"/>
              </w:rPr>
              <w:t xml:space="preserve">Итого</w:t>
            </w:r>
          </w:p>
        </w:tc>
        <w:tc>
          <w:tcPr>
            <w:tcW w:w="1417" w:type="dxa"/>
          </w:tcPr>
          <w:p>
            <w:pPr>
              <w:pStyle w:val="0"/>
            </w:pPr>
            <w:r>
              <w:rPr>
                <w:sz w:val="24"/>
              </w:rPr>
            </w:r>
          </w:p>
        </w:tc>
        <w:tc>
          <w:tcPr>
            <w:tcW w:w="1909" w:type="dxa"/>
          </w:tcPr>
          <w:p>
            <w:pPr>
              <w:pStyle w:val="0"/>
              <w:jc w:val="center"/>
            </w:pPr>
            <w:r>
              <w:rPr>
                <w:sz w:val="24"/>
              </w:rPr>
              <w:t xml:space="preserve">x</w:t>
            </w:r>
          </w:p>
        </w:tc>
        <w:tc>
          <w:tcPr>
            <w:tcW w:w="1594" w:type="dxa"/>
          </w:tcPr>
          <w:p>
            <w:pPr>
              <w:pStyle w:val="0"/>
            </w:pPr>
            <w:r>
              <w:rPr>
                <w:sz w:val="24"/>
              </w:rPr>
            </w:r>
          </w:p>
        </w:tc>
        <w:tc>
          <w:tcPr>
            <w:tcW w:w="1077" w:type="dxa"/>
          </w:tcPr>
          <w:p>
            <w:pPr>
              <w:pStyle w:val="0"/>
              <w:jc w:val="center"/>
            </w:pPr>
            <w:r>
              <w:rPr>
                <w:sz w:val="24"/>
              </w:rPr>
              <w:t xml:space="preserve">x</w:t>
            </w:r>
          </w:p>
        </w:tc>
        <w:tc>
          <w:tcPr>
            <w:tcW w:w="754" w:type="dxa"/>
          </w:tcPr>
          <w:p>
            <w:pPr>
              <w:pStyle w:val="0"/>
              <w:jc w:val="center"/>
            </w:pPr>
            <w:r>
              <w:rPr>
                <w:sz w:val="24"/>
              </w:rPr>
              <w:t xml:space="preserve">x</w:t>
            </w:r>
          </w:p>
        </w:tc>
        <w:tc>
          <w:tcPr>
            <w:tcW w:w="829" w:type="dxa"/>
          </w:tcPr>
          <w:p>
            <w:pPr>
              <w:pStyle w:val="0"/>
            </w:pPr>
            <w:r>
              <w:rPr>
                <w:sz w:val="24"/>
              </w:rPr>
            </w:r>
          </w:p>
        </w:tc>
        <w:tc>
          <w:tcPr>
            <w:tcW w:w="1144" w:type="dxa"/>
          </w:tcPr>
          <w:p>
            <w:pPr>
              <w:pStyle w:val="0"/>
              <w:jc w:val="center"/>
            </w:pPr>
            <w:r>
              <w:rPr>
                <w:sz w:val="24"/>
              </w:rPr>
              <w:t xml:space="preserve">x</w:t>
            </w:r>
          </w:p>
        </w:tc>
        <w:tc>
          <w:tcPr>
            <w:tcW w:w="1084" w:type="dxa"/>
          </w:tcPr>
          <w:p>
            <w:pPr>
              <w:pStyle w:val="0"/>
            </w:pPr>
            <w:r>
              <w:rPr>
                <w:sz w:val="24"/>
              </w:rPr>
            </w:r>
          </w:p>
        </w:tc>
        <w:tc>
          <w:tcPr>
            <w:tcW w:w="2419" w:type="dxa"/>
            <w:tcBorders>
              <w:right w:val="nil"/>
            </w:tcBorders>
          </w:tcPr>
          <w:p>
            <w:pPr>
              <w:pStyle w:val="0"/>
            </w:pPr>
            <w:r>
              <w:rPr>
                <w:sz w:val="24"/>
              </w:rPr>
            </w:r>
          </w:p>
        </w:tc>
      </w:tr>
    </w:tbl>
    <w:p>
      <w:pPr>
        <w:sectPr>
          <w:headerReference w:type="default" r:id="rId8"/>
          <w:headerReference w:type="first" r:id="rId8"/>
          <w:footerReference w:type="default" r:id="rId9"/>
          <w:footerReference w:type="first" r:id="rId9"/>
          <w:pgSz w:w="16838" w:h="11906" w:orient="landscape"/>
          <w:pgMar w:top="1133" w:right="1440" w:bottom="566" w:left="1440" w:header="0" w:footer="0" w:gutter="0"/>
          <w:titlePg/>
        </w:sectPr>
      </w:pPr>
    </w:p>
    <w:p>
      <w:pPr>
        <w:pStyle w:val="0"/>
        <w:jc w:val="both"/>
      </w:pPr>
      <w:r>
        <w:rPr>
          <w:sz w:val="24"/>
        </w:rPr>
      </w:r>
    </w:p>
    <w:tbl>
      <w:tblPr>
        <w:tblInd w:w="0" w:type="dxa"/>
        <w:tblLayout w:type="fixed"/>
        <w:tblCellMar>
          <w:top w:w="102" w:type="dxa"/>
          <w:left w:w="62" w:type="dxa"/>
          <w:bottom w:w="102" w:type="dxa"/>
          <w:right w:w="62" w:type="dxa"/>
        </w:tblCellMar>
      </w:tblPr>
      <w:tblGrid>
        <w:gridCol w:w="4082"/>
        <w:gridCol w:w="340"/>
        <w:gridCol w:w="1417"/>
        <w:gridCol w:w="340"/>
        <w:gridCol w:w="2891"/>
      </w:tblGrid>
      <w:tr>
        <w:tc>
          <w:tcPr>
            <w:tcW w:w="4082" w:type="dxa"/>
            <w:tcBorders>
              <w:top w:val="nil"/>
              <w:left w:val="nil"/>
              <w:bottom w:val="nil"/>
              <w:right w:val="nil"/>
            </w:tcBorders>
          </w:tcPr>
          <w:p>
            <w:pPr>
              <w:pStyle w:val="0"/>
              <w:jc w:val="both"/>
            </w:pPr>
            <w:r>
              <w:rPr>
                <w:sz w:val="24"/>
              </w:rPr>
              <w:t xml:space="preserve">Руководитель организации</w:t>
            </w:r>
          </w:p>
          <w:p>
            <w:pPr>
              <w:pStyle w:val="0"/>
              <w:jc w:val="both"/>
            </w:pPr>
            <w:r>
              <w:rPr>
                <w:sz w:val="24"/>
              </w:rPr>
              <w:t xml:space="preserve">(индивидуальный предприниматель)</w:t>
            </w:r>
          </w:p>
        </w:tc>
        <w:tc>
          <w:tcPr>
            <w:tcW w:w="340" w:type="dxa"/>
            <w:tcBorders>
              <w:top w:val="nil"/>
              <w:left w:val="nil"/>
              <w:bottom w:val="nil"/>
              <w:right w:val="nil"/>
            </w:tcBorders>
          </w:tcPr>
          <w:p>
            <w:pPr>
              <w:pStyle w:val="0"/>
            </w:pPr>
            <w:r>
              <w:rPr>
                <w:sz w:val="24"/>
              </w:rPr>
            </w:r>
          </w:p>
        </w:tc>
        <w:tc>
          <w:tcPr>
            <w:tcW w:w="1417"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2891" w:type="dxa"/>
            <w:tcBorders>
              <w:top w:val="nil"/>
              <w:left w:val="nil"/>
              <w:bottom w:val="single" w:sz="4"/>
              <w:right w:val="nil"/>
            </w:tcBorders>
          </w:tcPr>
          <w:p>
            <w:pPr>
              <w:pStyle w:val="0"/>
            </w:pPr>
            <w:r>
              <w:rPr>
                <w:sz w:val="24"/>
              </w:rPr>
            </w:r>
          </w:p>
        </w:tc>
      </w:tr>
      <w:tr>
        <w:tc>
          <w:tcPr>
            <w:tcW w:w="4082"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1417" w:type="dxa"/>
            <w:tcBorders>
              <w:top w:val="single" w:sz="4"/>
              <w:left w:val="nil"/>
              <w:bottom w:val="nil"/>
              <w:right w:val="nil"/>
            </w:tcBorders>
          </w:tcPr>
          <w:p>
            <w:pPr>
              <w:pStyle w:val="0"/>
              <w:jc w:val="center"/>
            </w:pPr>
            <w:r>
              <w:rPr>
                <w:sz w:val="24"/>
              </w:rPr>
              <w:t xml:space="preserve">(подпись)</w:t>
            </w:r>
          </w:p>
        </w:tc>
        <w:tc>
          <w:tcPr>
            <w:tcW w:w="340" w:type="dxa"/>
            <w:tcBorders>
              <w:top w:val="nil"/>
              <w:left w:val="nil"/>
              <w:bottom w:val="nil"/>
              <w:right w:val="nil"/>
            </w:tcBorders>
          </w:tcPr>
          <w:p>
            <w:pPr>
              <w:pStyle w:val="0"/>
            </w:pPr>
            <w:r>
              <w:rPr>
                <w:sz w:val="24"/>
              </w:rPr>
            </w:r>
          </w:p>
        </w:tc>
        <w:tc>
          <w:tcPr>
            <w:tcW w:w="2891" w:type="dxa"/>
            <w:tcBorders>
              <w:top w:val="single" w:sz="4"/>
              <w:left w:val="nil"/>
              <w:bottom w:val="nil"/>
              <w:right w:val="nil"/>
            </w:tcBorders>
          </w:tcPr>
          <w:p>
            <w:pPr>
              <w:pStyle w:val="0"/>
              <w:jc w:val="center"/>
            </w:pPr>
            <w:r>
              <w:rPr>
                <w:sz w:val="24"/>
              </w:rPr>
              <w:t xml:space="preserve">(фамилия, имя, отчество</w:t>
            </w:r>
          </w:p>
          <w:p>
            <w:pPr>
              <w:pStyle w:val="0"/>
              <w:jc w:val="center"/>
            </w:pPr>
            <w:r>
              <w:rPr>
                <w:sz w:val="24"/>
              </w:rPr>
              <w:t xml:space="preserve">(последнее - при наличии)</w:t>
            </w:r>
          </w:p>
        </w:tc>
      </w:tr>
      <w:tr>
        <w:tc>
          <w:tcPr>
            <w:gridSpan w:val="5"/>
            <w:tcW w:w="9070" w:type="dxa"/>
            <w:tcBorders>
              <w:top w:val="nil"/>
              <w:left w:val="nil"/>
              <w:bottom w:val="nil"/>
              <w:right w:val="nil"/>
            </w:tcBorders>
          </w:tcPr>
          <w:p>
            <w:pPr>
              <w:pStyle w:val="0"/>
              <w:jc w:val="both"/>
            </w:pPr>
            <w:r>
              <w:rPr>
                <w:sz w:val="24"/>
              </w:rPr>
              <w:t xml:space="preserve">М.П. (при наличии)</w:t>
            </w:r>
          </w:p>
        </w:tc>
      </w:tr>
      <w:tr>
        <w:tc>
          <w:tcPr>
            <w:gridSpan w:val="5"/>
            <w:tcW w:w="9070" w:type="dxa"/>
            <w:tcBorders>
              <w:top w:val="nil"/>
              <w:left w:val="nil"/>
              <w:bottom w:val="nil"/>
              <w:right w:val="nil"/>
            </w:tcBorders>
          </w:tcPr>
          <w:p>
            <w:pPr>
              <w:pStyle w:val="0"/>
              <w:jc w:val="both"/>
            </w:pPr>
            <w:r>
              <w:rPr>
                <w:sz w:val="24"/>
              </w:rPr>
              <w:t xml:space="preserve">____ ____________ 20___ г.</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4</w:t>
      </w:r>
    </w:p>
    <w:p>
      <w:pPr>
        <w:pStyle w:val="0"/>
        <w:jc w:val="right"/>
      </w:pPr>
      <w:r>
        <w:rPr>
          <w:sz w:val="24"/>
        </w:rPr>
        <w:t xml:space="preserve">к Правилам предоставления</w:t>
      </w:r>
    </w:p>
    <w:p>
      <w:pPr>
        <w:pStyle w:val="0"/>
        <w:jc w:val="right"/>
      </w:pPr>
      <w:r>
        <w:rPr>
          <w:sz w:val="24"/>
        </w:rPr>
        <w:t xml:space="preserve">из республиканского бюджета</w:t>
      </w:r>
    </w:p>
    <w:p>
      <w:pPr>
        <w:pStyle w:val="0"/>
        <w:jc w:val="right"/>
      </w:pPr>
      <w:r>
        <w:rPr>
          <w:sz w:val="24"/>
        </w:rPr>
        <w:t xml:space="preserve">Чувашской Республики субсидий</w:t>
      </w:r>
    </w:p>
    <w:p>
      <w:pPr>
        <w:pStyle w:val="0"/>
        <w:jc w:val="right"/>
      </w:pPr>
      <w:r>
        <w:rPr>
          <w:sz w:val="24"/>
        </w:rPr>
        <w:t xml:space="preserve">на возмещение части затрат</w:t>
      </w:r>
    </w:p>
    <w:p>
      <w:pPr>
        <w:pStyle w:val="0"/>
        <w:jc w:val="right"/>
      </w:pPr>
      <w:r>
        <w:rPr>
          <w:sz w:val="24"/>
        </w:rPr>
        <w:t xml:space="preserve">на приобретение мобильных</w:t>
      </w:r>
    </w:p>
    <w:p>
      <w:pPr>
        <w:pStyle w:val="0"/>
        <w:jc w:val="right"/>
      </w:pPr>
      <w:r>
        <w:rPr>
          <w:sz w:val="24"/>
        </w:rPr>
        <w:t xml:space="preserve">торговых объектов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Кабинета Министров ЧР от 08.04.2026 N 198)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CellMar>
          <w:top w:w="102" w:type="dxa"/>
          <w:left w:w="62" w:type="dxa"/>
          <w:bottom w:w="102" w:type="dxa"/>
          <w:right w:w="62" w:type="dxa"/>
        </w:tblCellMar>
      </w:tblPr>
      <w:tblGrid>
        <w:gridCol w:w="8974"/>
      </w:tblGrid>
      <w:tr>
        <w:tc>
          <w:tcPr>
            <w:tcW w:w="8974" w:type="dxa"/>
            <w:tcBorders>
              <w:top w:val="nil"/>
              <w:left w:val="nil"/>
              <w:bottom w:val="nil"/>
              <w:right w:val="nil"/>
            </w:tcBorders>
          </w:tcPr>
          <w:bookmarkStart w:id="731" w:name="P731"/>
          <w:bookmarkEnd w:id="731"/>
          <w:p>
            <w:pPr>
              <w:pStyle w:val="0"/>
              <w:jc w:val="center"/>
            </w:pPr>
            <w:r>
              <w:rPr>
                <w:sz w:val="24"/>
                <w:b w:val="on"/>
              </w:rPr>
              <w:t xml:space="preserve">СВЕДЕНИЯ</w:t>
            </w:r>
          </w:p>
          <w:p>
            <w:pPr>
              <w:pStyle w:val="0"/>
              <w:jc w:val="center"/>
            </w:pPr>
            <w:r>
              <w:rPr>
                <w:sz w:val="24"/>
                <w:b w:val="on"/>
              </w:rPr>
              <w:t xml:space="preserve">о среднесписочной численности и заработной плате</w:t>
            </w:r>
          </w:p>
          <w:p>
            <w:pPr>
              <w:pStyle w:val="0"/>
              <w:jc w:val="center"/>
            </w:pPr>
            <w:r>
              <w:rPr>
                <w:sz w:val="24"/>
                <w:b w:val="on"/>
              </w:rPr>
              <w:t xml:space="preserve">работников за 20___ год</w:t>
            </w:r>
          </w:p>
          <w:p>
            <w:pPr>
              <w:pStyle w:val="0"/>
              <w:jc w:val="center"/>
            </w:pPr>
            <w:r>
              <w:rPr>
                <w:sz w:val="24"/>
              </w:rPr>
              <w:t xml:space="preserve">________________________________________________________</w:t>
            </w:r>
          </w:p>
          <w:p>
            <w:pPr>
              <w:pStyle w:val="0"/>
              <w:jc w:val="center"/>
            </w:pPr>
            <w:r>
              <w:rPr>
                <w:sz w:val="24"/>
              </w:rPr>
              <w:t xml:space="preserve">(полное наименование организации, фамилия, имя, отчество</w:t>
            </w:r>
          </w:p>
          <w:p>
            <w:pPr>
              <w:pStyle w:val="0"/>
              <w:jc w:val="center"/>
            </w:pPr>
            <w:r>
              <w:rPr>
                <w:sz w:val="24"/>
              </w:rPr>
              <w:t xml:space="preserve">(последнее при наличии) индивидуального предпринимателя)</w:t>
            </w:r>
          </w:p>
        </w:tc>
      </w:tr>
    </w:tbl>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511"/>
        <w:gridCol w:w="5839"/>
        <w:gridCol w:w="1361"/>
        <w:gridCol w:w="1247"/>
      </w:tblGrid>
      <w:tr>
        <w:tc>
          <w:tcPr>
            <w:tcW w:w="511" w:type="dxa"/>
            <w:tcBorders>
              <w:left w:val="nil"/>
            </w:tcBorders>
          </w:tcPr>
          <w:p>
            <w:pPr>
              <w:pStyle w:val="0"/>
              <w:jc w:val="center"/>
            </w:pPr>
            <w:r>
              <w:rPr>
                <w:sz w:val="24"/>
              </w:rPr>
              <w:t xml:space="preserve">N</w:t>
            </w:r>
          </w:p>
          <w:p>
            <w:pPr>
              <w:pStyle w:val="0"/>
              <w:jc w:val="center"/>
            </w:pPr>
            <w:r>
              <w:rPr>
                <w:sz w:val="24"/>
              </w:rPr>
              <w:t xml:space="preserve">пп</w:t>
            </w:r>
          </w:p>
        </w:tc>
        <w:tc>
          <w:tcPr>
            <w:tcW w:w="5839" w:type="dxa"/>
          </w:tcPr>
          <w:p>
            <w:pPr>
              <w:pStyle w:val="0"/>
              <w:jc w:val="center"/>
            </w:pPr>
            <w:r>
              <w:rPr>
                <w:sz w:val="24"/>
              </w:rPr>
              <w:t xml:space="preserve">Наименование показателя</w:t>
            </w:r>
          </w:p>
        </w:tc>
        <w:tc>
          <w:tcPr>
            <w:tcW w:w="1361" w:type="dxa"/>
          </w:tcPr>
          <w:p>
            <w:pPr>
              <w:pStyle w:val="0"/>
              <w:jc w:val="center"/>
            </w:pPr>
            <w:r>
              <w:rPr>
                <w:sz w:val="24"/>
              </w:rPr>
              <w:t xml:space="preserve">Единица измерения</w:t>
            </w:r>
          </w:p>
        </w:tc>
        <w:tc>
          <w:tcPr>
            <w:tcW w:w="1247" w:type="dxa"/>
            <w:tcBorders>
              <w:right w:val="nil"/>
            </w:tcBorders>
          </w:tcPr>
          <w:p>
            <w:pPr>
              <w:pStyle w:val="0"/>
              <w:jc w:val="center"/>
            </w:pPr>
            <w:r>
              <w:rPr>
                <w:sz w:val="24"/>
              </w:rPr>
              <w:t xml:space="preserve">20__ год &lt;*&gt;</w:t>
            </w:r>
          </w:p>
        </w:tc>
      </w:tr>
      <w:tr>
        <w:tc>
          <w:tcPr>
            <w:tcW w:w="511" w:type="dxa"/>
            <w:tcBorders>
              <w:left w:val="nil"/>
            </w:tcBorders>
          </w:tcPr>
          <w:p>
            <w:pPr>
              <w:pStyle w:val="0"/>
              <w:jc w:val="center"/>
            </w:pPr>
            <w:r>
              <w:rPr>
                <w:sz w:val="24"/>
              </w:rPr>
              <w:t xml:space="preserve">1.</w:t>
            </w:r>
          </w:p>
        </w:tc>
        <w:tc>
          <w:tcPr>
            <w:tcW w:w="5839" w:type="dxa"/>
          </w:tcPr>
          <w:p>
            <w:pPr>
              <w:pStyle w:val="0"/>
              <w:jc w:val="both"/>
            </w:pPr>
            <w:r>
              <w:rPr>
                <w:sz w:val="24"/>
              </w:rPr>
              <w:t xml:space="preserve">Среднесписочная численность работников &lt;**&gt;, всего</w:t>
            </w:r>
          </w:p>
        </w:tc>
        <w:tc>
          <w:tcPr>
            <w:tcW w:w="1361" w:type="dxa"/>
          </w:tcPr>
          <w:p>
            <w:pPr>
              <w:pStyle w:val="0"/>
              <w:jc w:val="center"/>
            </w:pPr>
            <w:r>
              <w:rPr>
                <w:sz w:val="24"/>
              </w:rPr>
              <w:t xml:space="preserve">человек</w:t>
            </w:r>
          </w:p>
        </w:tc>
        <w:tc>
          <w:tcPr>
            <w:tcW w:w="1247" w:type="dxa"/>
            <w:tcBorders>
              <w:right w:val="nil"/>
            </w:tcBorders>
          </w:tcPr>
          <w:p>
            <w:pPr>
              <w:pStyle w:val="0"/>
            </w:pPr>
            <w:r>
              <w:rPr>
                <w:sz w:val="24"/>
              </w:rPr>
            </w:r>
          </w:p>
        </w:tc>
      </w:tr>
      <w:tr>
        <w:tc>
          <w:tcPr>
            <w:tcW w:w="511" w:type="dxa"/>
            <w:tcBorders>
              <w:left w:val="nil"/>
            </w:tcBorders>
          </w:tcPr>
          <w:p>
            <w:pPr>
              <w:pStyle w:val="0"/>
              <w:jc w:val="center"/>
            </w:pPr>
            <w:r>
              <w:rPr>
                <w:sz w:val="24"/>
              </w:rPr>
              <w:t xml:space="preserve">2.</w:t>
            </w:r>
          </w:p>
        </w:tc>
        <w:tc>
          <w:tcPr>
            <w:tcW w:w="5839" w:type="dxa"/>
          </w:tcPr>
          <w:p>
            <w:pPr>
              <w:pStyle w:val="0"/>
              <w:jc w:val="both"/>
            </w:pPr>
            <w:r>
              <w:rPr>
                <w:sz w:val="24"/>
              </w:rPr>
              <w:t xml:space="preserve">Фонд начисленной заработной платы работников &lt;**&gt;</w:t>
            </w:r>
          </w:p>
        </w:tc>
        <w:tc>
          <w:tcPr>
            <w:tcW w:w="1361" w:type="dxa"/>
          </w:tcPr>
          <w:p>
            <w:pPr>
              <w:pStyle w:val="0"/>
              <w:jc w:val="center"/>
            </w:pPr>
            <w:r>
              <w:rPr>
                <w:sz w:val="24"/>
              </w:rPr>
              <w:t xml:space="preserve">рублей</w:t>
            </w:r>
          </w:p>
        </w:tc>
        <w:tc>
          <w:tcPr>
            <w:tcW w:w="1247" w:type="dxa"/>
            <w:tcBorders>
              <w:right w:val="nil"/>
            </w:tcBorders>
          </w:tcPr>
          <w:p>
            <w:pPr>
              <w:pStyle w:val="0"/>
            </w:pPr>
            <w:r>
              <w:rPr>
                <w:sz w:val="24"/>
              </w:rPr>
            </w:r>
          </w:p>
        </w:tc>
      </w:tr>
      <w:tr>
        <w:tc>
          <w:tcPr>
            <w:tcW w:w="511" w:type="dxa"/>
            <w:tcBorders>
              <w:left w:val="nil"/>
            </w:tcBorders>
          </w:tcPr>
          <w:p>
            <w:pPr>
              <w:pStyle w:val="0"/>
              <w:jc w:val="center"/>
            </w:pPr>
            <w:r>
              <w:rPr>
                <w:sz w:val="24"/>
              </w:rPr>
              <w:t xml:space="preserve">3.</w:t>
            </w:r>
          </w:p>
        </w:tc>
        <w:tc>
          <w:tcPr>
            <w:tcW w:w="5839" w:type="dxa"/>
          </w:tcPr>
          <w:p>
            <w:pPr>
              <w:pStyle w:val="0"/>
              <w:jc w:val="both"/>
            </w:pPr>
            <w:r>
              <w:rPr>
                <w:sz w:val="24"/>
              </w:rPr>
              <w:t xml:space="preserve">Среднемесячная заработная плата работников &lt;***&gt;</w:t>
            </w:r>
          </w:p>
        </w:tc>
        <w:tc>
          <w:tcPr>
            <w:tcW w:w="1361" w:type="dxa"/>
          </w:tcPr>
          <w:p>
            <w:pPr>
              <w:pStyle w:val="0"/>
              <w:jc w:val="center"/>
            </w:pPr>
            <w:r>
              <w:rPr>
                <w:sz w:val="24"/>
              </w:rPr>
              <w:t xml:space="preserve">рублей</w:t>
            </w:r>
          </w:p>
        </w:tc>
        <w:tc>
          <w:tcPr>
            <w:tcW w:w="1247" w:type="dxa"/>
            <w:tcBorders>
              <w:right w:val="nil"/>
            </w:tcBorders>
          </w:tcPr>
          <w:p>
            <w:pPr>
              <w:pStyle w:val="0"/>
            </w:pPr>
            <w:r>
              <w:rPr>
                <w:sz w:val="24"/>
              </w:rPr>
            </w:r>
          </w:p>
        </w:tc>
      </w:tr>
    </w:tbl>
    <w:p>
      <w:pPr>
        <w:pStyle w:val="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&lt;*&gt; Указывается год, предшествующий году подачи заявки.</w:t>
      </w:r>
    </w:p>
    <w:p>
      <w:pPr>
        <w:pStyle w:val="0"/>
        <w:spacing w:before="240" w:lineRule="auto"/>
        <w:ind w:firstLine="540"/>
        <w:jc w:val="both"/>
      </w:pPr>
      <w:r>
        <w:rPr>
          <w:sz w:val="24"/>
        </w:rPr>
        <w:t xml:space="preserve">&lt;**&gt; Указывается в соответствии с формой "Расчет по страховым взносам".</w:t>
      </w:r>
    </w:p>
    <w:p>
      <w:pPr>
        <w:pStyle w:val="0"/>
        <w:spacing w:before="240" w:lineRule="auto"/>
        <w:ind w:firstLine="540"/>
        <w:jc w:val="both"/>
      </w:pPr>
      <w:r>
        <w:rPr>
          <w:sz w:val="24"/>
        </w:rPr>
        <w:t xml:space="preserve">&lt;***&gt; Рассчитывается в соответствии с указаниями Федеральной службы государственной статистики по заполнению формы федерального статистического наблюдения N П-4 "Сведения о численности и заработной плате работников".</w:t>
      </w:r>
    </w:p>
    <w:p>
      <w:pPr>
        <w:pStyle w:val="0"/>
        <w:jc w:val="both"/>
      </w:pPr>
      <w:r>
        <w:rPr>
          <w:sz w:val="24"/>
        </w:rPr>
      </w:r>
    </w:p>
    <w:tbl>
      <w:tblPr>
        <w:tblInd w:w="0" w:type="dxa"/>
        <w:tblLayout w:type="fixed"/>
        <w:tblCellMar>
          <w:top w:w="102" w:type="dxa"/>
          <w:left w:w="62" w:type="dxa"/>
          <w:bottom w:w="102" w:type="dxa"/>
          <w:right w:w="62" w:type="dxa"/>
        </w:tblCellMar>
      </w:tblPr>
      <w:tblGrid>
        <w:gridCol w:w="4110"/>
        <w:gridCol w:w="1315"/>
        <w:gridCol w:w="450"/>
        <w:gridCol w:w="3175"/>
      </w:tblGrid>
      <w:tr>
        <w:tc>
          <w:tcPr>
            <w:tcW w:w="4110" w:type="dxa"/>
            <w:tcBorders>
              <w:top w:val="nil"/>
              <w:left w:val="nil"/>
              <w:bottom w:val="nil"/>
              <w:right w:val="nil"/>
            </w:tcBorders>
          </w:tcPr>
          <w:p>
            <w:pPr>
              <w:pStyle w:val="0"/>
              <w:jc w:val="both"/>
            </w:pPr>
            <w:r>
              <w:rPr>
                <w:sz w:val="24"/>
              </w:rPr>
              <w:t xml:space="preserve">Руководитель организации</w:t>
            </w:r>
          </w:p>
          <w:p>
            <w:pPr>
              <w:pStyle w:val="0"/>
              <w:jc w:val="both"/>
            </w:pPr>
            <w:r>
              <w:rPr>
                <w:sz w:val="24"/>
              </w:rPr>
              <w:t xml:space="preserve">(индивидуальный предприниматель)</w:t>
            </w:r>
          </w:p>
        </w:tc>
        <w:tc>
          <w:tcPr>
            <w:tcW w:w="1315" w:type="dxa"/>
            <w:tcBorders>
              <w:top w:val="nil"/>
              <w:left w:val="nil"/>
              <w:bottom w:val="single" w:sz="4"/>
              <w:right w:val="nil"/>
            </w:tcBorders>
          </w:tcPr>
          <w:p>
            <w:pPr>
              <w:pStyle w:val="0"/>
            </w:pPr>
            <w:r>
              <w:rPr>
                <w:sz w:val="24"/>
              </w:rPr>
            </w:r>
          </w:p>
        </w:tc>
        <w:tc>
          <w:tcPr>
            <w:tcW w:w="450" w:type="dxa"/>
            <w:tcBorders>
              <w:top w:val="nil"/>
              <w:left w:val="nil"/>
              <w:bottom w:val="nil"/>
              <w:right w:val="nil"/>
            </w:tcBorders>
          </w:tcPr>
          <w:p>
            <w:pPr>
              <w:pStyle w:val="0"/>
            </w:pPr>
            <w:r>
              <w:rPr>
                <w:sz w:val="24"/>
              </w:rPr>
            </w:r>
          </w:p>
        </w:tc>
        <w:tc>
          <w:tcPr>
            <w:tcW w:w="3175" w:type="dxa"/>
            <w:tcBorders>
              <w:top w:val="nil"/>
              <w:left w:val="nil"/>
              <w:bottom w:val="single" w:sz="4"/>
              <w:right w:val="nil"/>
            </w:tcBorders>
          </w:tcPr>
          <w:p>
            <w:pPr>
              <w:pStyle w:val="0"/>
            </w:pPr>
            <w:r>
              <w:rPr>
                <w:sz w:val="24"/>
              </w:rPr>
            </w:r>
          </w:p>
        </w:tc>
      </w:tr>
      <w:tr>
        <w:tc>
          <w:tcPr>
            <w:tcW w:w="4110" w:type="dxa"/>
            <w:tcBorders>
              <w:top w:val="nil"/>
              <w:left w:val="nil"/>
              <w:bottom w:val="nil"/>
              <w:right w:val="nil"/>
            </w:tcBorders>
          </w:tcPr>
          <w:p>
            <w:pPr>
              <w:pStyle w:val="0"/>
            </w:pPr>
            <w:r>
              <w:rPr>
                <w:sz w:val="24"/>
              </w:rPr>
            </w:r>
          </w:p>
        </w:tc>
        <w:tc>
          <w:tcPr>
            <w:tcW w:w="1315" w:type="dxa"/>
            <w:tcBorders>
              <w:top w:val="single" w:sz="4"/>
              <w:left w:val="nil"/>
              <w:bottom w:val="nil"/>
              <w:right w:val="nil"/>
            </w:tcBorders>
          </w:tcPr>
          <w:p>
            <w:pPr>
              <w:pStyle w:val="0"/>
              <w:jc w:val="center"/>
            </w:pPr>
            <w:r>
              <w:rPr>
                <w:sz w:val="24"/>
              </w:rPr>
              <w:t xml:space="preserve">(подпись)</w:t>
            </w:r>
          </w:p>
        </w:tc>
        <w:tc>
          <w:tcPr>
            <w:tcW w:w="450" w:type="dxa"/>
            <w:tcBorders>
              <w:top w:val="nil"/>
              <w:left w:val="nil"/>
              <w:bottom w:val="nil"/>
              <w:right w:val="nil"/>
            </w:tcBorders>
          </w:tcPr>
          <w:p>
            <w:pPr>
              <w:pStyle w:val="0"/>
            </w:pPr>
            <w:r>
              <w:rPr>
                <w:sz w:val="24"/>
              </w:rPr>
            </w:r>
          </w:p>
        </w:tc>
        <w:tc>
          <w:tcPr>
            <w:tcW w:w="3175" w:type="dxa"/>
            <w:tcBorders>
              <w:top w:val="single" w:sz="4"/>
              <w:left w:val="nil"/>
              <w:bottom w:val="nil"/>
              <w:right w:val="nil"/>
            </w:tcBorders>
          </w:tcPr>
          <w:p>
            <w:pPr>
              <w:pStyle w:val="0"/>
              <w:jc w:val="center"/>
            </w:pPr>
            <w:r>
              <w:rPr>
                <w:sz w:val="24"/>
              </w:rPr>
              <w:t xml:space="preserve">(расшифровка подписи)</w:t>
            </w:r>
          </w:p>
        </w:tc>
      </w:tr>
      <w:tr>
        <w:tc>
          <w:tcPr>
            <w:tcW w:w="4110" w:type="dxa"/>
            <w:tcBorders>
              <w:top w:val="nil"/>
              <w:left w:val="nil"/>
              <w:bottom w:val="nil"/>
              <w:right w:val="nil"/>
            </w:tcBorders>
          </w:tcPr>
          <w:p>
            <w:pPr>
              <w:pStyle w:val="0"/>
              <w:jc w:val="both"/>
            </w:pPr>
            <w:r>
              <w:rPr>
                <w:sz w:val="24"/>
              </w:rPr>
              <w:t xml:space="preserve">Главный бухгалтер</w:t>
            </w:r>
          </w:p>
          <w:p>
            <w:pPr>
              <w:pStyle w:val="0"/>
              <w:jc w:val="both"/>
            </w:pPr>
            <w:r>
              <w:rPr>
                <w:sz w:val="24"/>
              </w:rPr>
              <w:t xml:space="preserve">(для юридических лиц)</w:t>
            </w:r>
          </w:p>
        </w:tc>
        <w:tc>
          <w:tcPr>
            <w:tcW w:w="1315" w:type="dxa"/>
            <w:tcBorders>
              <w:top w:val="nil"/>
              <w:left w:val="nil"/>
              <w:bottom w:val="single" w:sz="4"/>
              <w:right w:val="nil"/>
            </w:tcBorders>
          </w:tcPr>
          <w:p>
            <w:pPr>
              <w:pStyle w:val="0"/>
            </w:pPr>
            <w:r>
              <w:rPr>
                <w:sz w:val="24"/>
              </w:rPr>
            </w:r>
          </w:p>
        </w:tc>
        <w:tc>
          <w:tcPr>
            <w:tcW w:w="450" w:type="dxa"/>
            <w:tcBorders>
              <w:top w:val="nil"/>
              <w:left w:val="nil"/>
              <w:bottom w:val="nil"/>
              <w:right w:val="nil"/>
            </w:tcBorders>
          </w:tcPr>
          <w:p>
            <w:pPr>
              <w:pStyle w:val="0"/>
            </w:pPr>
            <w:r>
              <w:rPr>
                <w:sz w:val="24"/>
              </w:rPr>
            </w:r>
          </w:p>
        </w:tc>
        <w:tc>
          <w:tcPr>
            <w:tcW w:w="3175" w:type="dxa"/>
            <w:tcBorders>
              <w:top w:val="nil"/>
              <w:left w:val="nil"/>
              <w:bottom w:val="single" w:sz="4"/>
              <w:right w:val="nil"/>
            </w:tcBorders>
          </w:tcPr>
          <w:p>
            <w:pPr>
              <w:pStyle w:val="0"/>
            </w:pPr>
            <w:r>
              <w:rPr>
                <w:sz w:val="24"/>
              </w:rPr>
            </w:r>
          </w:p>
        </w:tc>
      </w:tr>
      <w:tr>
        <w:tc>
          <w:tcPr>
            <w:tcW w:w="4110" w:type="dxa"/>
            <w:tcBorders>
              <w:top w:val="nil"/>
              <w:left w:val="nil"/>
              <w:bottom w:val="nil"/>
              <w:right w:val="nil"/>
            </w:tcBorders>
          </w:tcPr>
          <w:p>
            <w:pPr>
              <w:pStyle w:val="0"/>
            </w:pPr>
            <w:r>
              <w:rPr>
                <w:sz w:val="24"/>
              </w:rPr>
            </w:r>
          </w:p>
        </w:tc>
        <w:tc>
          <w:tcPr>
            <w:tcW w:w="1315" w:type="dxa"/>
            <w:tcBorders>
              <w:top w:val="single" w:sz="4"/>
              <w:left w:val="nil"/>
              <w:bottom w:val="nil"/>
              <w:right w:val="nil"/>
            </w:tcBorders>
          </w:tcPr>
          <w:p>
            <w:pPr>
              <w:pStyle w:val="0"/>
              <w:jc w:val="center"/>
            </w:pPr>
            <w:r>
              <w:rPr>
                <w:sz w:val="24"/>
              </w:rPr>
              <w:t xml:space="preserve">(подпись)</w:t>
            </w:r>
          </w:p>
        </w:tc>
        <w:tc>
          <w:tcPr>
            <w:tcW w:w="450" w:type="dxa"/>
            <w:tcBorders>
              <w:top w:val="nil"/>
              <w:left w:val="nil"/>
              <w:bottom w:val="nil"/>
              <w:right w:val="nil"/>
            </w:tcBorders>
          </w:tcPr>
          <w:p>
            <w:pPr>
              <w:pStyle w:val="0"/>
            </w:pPr>
            <w:r>
              <w:rPr>
                <w:sz w:val="24"/>
              </w:rPr>
            </w:r>
          </w:p>
        </w:tc>
        <w:tc>
          <w:tcPr>
            <w:tcW w:w="3175" w:type="dxa"/>
            <w:tcBorders>
              <w:top w:val="single" w:sz="4"/>
              <w:left w:val="nil"/>
              <w:bottom w:val="nil"/>
              <w:right w:val="nil"/>
            </w:tcBorders>
          </w:tcPr>
          <w:p>
            <w:pPr>
              <w:pStyle w:val="0"/>
              <w:jc w:val="center"/>
            </w:pPr>
            <w:r>
              <w:rPr>
                <w:sz w:val="24"/>
              </w:rPr>
              <w:t xml:space="preserve">(расшифровка подписи)</w:t>
            </w:r>
          </w:p>
        </w:tc>
      </w:tr>
      <w:tr>
        <w:tc>
          <w:tcPr>
            <w:gridSpan w:val="4"/>
            <w:tcW w:w="9050" w:type="dxa"/>
            <w:tcBorders>
              <w:top w:val="nil"/>
              <w:left w:val="nil"/>
              <w:bottom w:val="nil"/>
              <w:right w:val="nil"/>
            </w:tcBorders>
          </w:tcPr>
          <w:p>
            <w:pPr>
              <w:pStyle w:val="0"/>
              <w:jc w:val="both"/>
            </w:pPr>
            <w:r>
              <w:rPr>
                <w:sz w:val="24"/>
              </w:rPr>
              <w:t xml:space="preserve">____ ____________ 20___ г.</w:t>
            </w:r>
          </w:p>
          <w:p>
            <w:pPr>
              <w:pStyle w:val="0"/>
            </w:pPr>
            <w:r>
              <w:rPr>
                <w:sz w:val="24"/>
              </w:rPr>
            </w:r>
          </w:p>
          <w:p>
            <w:pPr>
              <w:pStyle w:val="0"/>
              <w:jc w:val="both"/>
            </w:pPr>
            <w:r>
              <w:rPr>
                <w:sz w:val="24"/>
              </w:rPr>
              <w:t xml:space="preserve">М.П. (при наличии)</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5</w:t>
      </w:r>
    </w:p>
    <w:p>
      <w:pPr>
        <w:pStyle w:val="0"/>
        <w:jc w:val="right"/>
      </w:pPr>
      <w:r>
        <w:rPr>
          <w:sz w:val="24"/>
        </w:rPr>
        <w:t xml:space="preserve">к Правилам предоставления</w:t>
      </w:r>
    </w:p>
    <w:p>
      <w:pPr>
        <w:pStyle w:val="0"/>
        <w:jc w:val="right"/>
      </w:pPr>
      <w:r>
        <w:rPr>
          <w:sz w:val="24"/>
        </w:rPr>
        <w:t xml:space="preserve">из республиканского бюджета</w:t>
      </w:r>
    </w:p>
    <w:p>
      <w:pPr>
        <w:pStyle w:val="0"/>
        <w:jc w:val="right"/>
      </w:pPr>
      <w:r>
        <w:rPr>
          <w:sz w:val="24"/>
        </w:rPr>
        <w:t xml:space="preserve">Чувашской Республики субсидий</w:t>
      </w:r>
    </w:p>
    <w:p>
      <w:pPr>
        <w:pStyle w:val="0"/>
        <w:jc w:val="right"/>
      </w:pPr>
      <w:r>
        <w:rPr>
          <w:sz w:val="24"/>
        </w:rPr>
        <w:t xml:space="preserve">на возмещение части затрат</w:t>
      </w:r>
    </w:p>
    <w:p>
      <w:pPr>
        <w:pStyle w:val="0"/>
        <w:jc w:val="right"/>
      </w:pPr>
      <w:r>
        <w:rPr>
          <w:sz w:val="24"/>
        </w:rPr>
        <w:t xml:space="preserve">на приобретение мобильных</w:t>
      </w:r>
    </w:p>
    <w:p>
      <w:pPr>
        <w:pStyle w:val="0"/>
        <w:jc w:val="right"/>
      </w:pPr>
      <w:r>
        <w:rPr>
          <w:sz w:val="24"/>
        </w:rPr>
        <w:t xml:space="preserve">торговых объектов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Кабинета Министров ЧР от 08.04.2026 N 198)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797" w:name="P797"/>
    <w:bookmarkEnd w:id="797"/>
    <w:p>
      <w:pPr>
        <w:pStyle w:val="0"/>
        <w:jc w:val="center"/>
      </w:pPr>
      <w:r>
        <w:rPr>
          <w:sz w:val="24"/>
          <w:b w:val="on"/>
        </w:rPr>
        <w:t xml:space="preserve">СВОДНАЯ СПРАВКА-РЕЕСТР</w:t>
      </w:r>
    </w:p>
    <w:p>
      <w:pPr>
        <w:pStyle w:val="0"/>
        <w:jc w:val="center"/>
      </w:pPr>
      <w:r>
        <w:rPr>
          <w:sz w:val="24"/>
          <w:b w:val="on"/>
        </w:rPr>
        <w:t xml:space="preserve">о причитающихся суммах субсидий из республиканского бюджета</w:t>
      </w:r>
    </w:p>
    <w:p>
      <w:pPr>
        <w:pStyle w:val="0"/>
        <w:jc w:val="center"/>
      </w:pPr>
      <w:r>
        <w:rPr>
          <w:sz w:val="24"/>
          <w:b w:val="on"/>
        </w:rPr>
        <w:t xml:space="preserve">Чувашской Республики на возмещение части затрат</w:t>
      </w:r>
    </w:p>
    <w:p>
      <w:pPr>
        <w:pStyle w:val="0"/>
        <w:jc w:val="center"/>
      </w:pPr>
      <w:r>
        <w:rPr>
          <w:sz w:val="24"/>
          <w:b w:val="on"/>
        </w:rPr>
        <w:t xml:space="preserve">на приобретение мобильных торговых объектов</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984"/>
        <w:gridCol w:w="619"/>
        <w:gridCol w:w="1894"/>
        <w:gridCol w:w="754"/>
        <w:gridCol w:w="1609"/>
        <w:gridCol w:w="2299"/>
        <w:gridCol w:w="1339"/>
        <w:gridCol w:w="1339"/>
        <w:gridCol w:w="1774"/>
      </w:tblGrid>
      <w:tr>
        <w:tc>
          <w:tcPr>
            <w:tcW w:w="1984" w:type="dxa"/>
            <w:tcBorders>
              <w:left w:val="nil"/>
            </w:tcBorders>
            <w:vMerge w:val="restart"/>
          </w:tcPr>
          <w:p>
            <w:pPr>
              <w:pStyle w:val="0"/>
              <w:jc w:val="center"/>
            </w:pPr>
            <w:r>
              <w:rPr>
                <w:sz w:val="24"/>
              </w:rPr>
              <w:t xml:space="preserve">Полное наименование организации, фамилия, имя, отчество (последнее - при наличии) индивидуального предпринимателя</w:t>
            </w:r>
          </w:p>
        </w:tc>
        <w:tc>
          <w:tcPr>
            <w:tcW w:w="619" w:type="dxa"/>
            <w:vMerge w:val="restart"/>
          </w:tcPr>
          <w:p>
            <w:pPr>
              <w:pStyle w:val="0"/>
              <w:jc w:val="center"/>
            </w:pPr>
            <w:r>
              <w:rPr>
                <w:sz w:val="24"/>
              </w:rPr>
              <w:t xml:space="preserve">ИНН</w:t>
            </w:r>
          </w:p>
        </w:tc>
        <w:tc>
          <w:tcPr>
            <w:tcW w:w="1894" w:type="dxa"/>
            <w:vMerge w:val="restart"/>
          </w:tcPr>
          <w:p>
            <w:pPr>
              <w:pStyle w:val="0"/>
              <w:jc w:val="center"/>
            </w:pPr>
            <w:r>
              <w:rPr>
                <w:sz w:val="24"/>
              </w:rPr>
              <w:t xml:space="preserve">Место осуществления деятельности (муниципальный округ, городской округ Чувашской Республики)</w:t>
            </w:r>
          </w:p>
        </w:tc>
        <w:tc>
          <w:tcPr>
            <w:gridSpan w:val="5"/>
            <w:tcW w:w="7340" w:type="dxa"/>
          </w:tcPr>
          <w:p>
            <w:pPr>
              <w:pStyle w:val="0"/>
              <w:jc w:val="center"/>
            </w:pPr>
            <w:r>
              <w:rPr>
                <w:sz w:val="24"/>
              </w:rPr>
              <w:t xml:space="preserve">Договор о приобретении мобильного торгового объекта</w:t>
            </w:r>
          </w:p>
        </w:tc>
        <w:tc>
          <w:tcPr>
            <w:tcW w:w="1774" w:type="dxa"/>
            <w:tcBorders>
              <w:right w:val="nil"/>
            </w:tcBorders>
            <w:vMerge w:val="restart"/>
          </w:tcPr>
          <w:p>
            <w:pPr>
              <w:pStyle w:val="0"/>
              <w:jc w:val="center"/>
            </w:pPr>
            <w:r>
              <w:rPr>
                <w:sz w:val="24"/>
              </w:rPr>
              <w:t xml:space="preserve">Сумма причитающейся субсидии, рублей</w:t>
            </w:r>
          </w:p>
        </w:tc>
      </w:tr>
      <w:tr>
        <w:tc>
          <w:tcPr>
            <w:tcBorders>
              <w:left w:val="nil"/>
            </w:tcBorders>
            <w:vMerge w:val="continue"/>
          </w:tcPr>
          <w:p/>
        </w:tc>
        <w:tc>
          <w:tcPr>
            <w:vMerge w:val="continue"/>
          </w:tcPr>
          <w:p/>
        </w:tc>
        <w:tc>
          <w:tcPr>
            <w:vMerge w:val="continue"/>
          </w:tcPr>
          <w:p/>
        </w:tc>
        <w:tc>
          <w:tcPr>
            <w:tcW w:w="754" w:type="dxa"/>
            <w:vMerge w:val="restart"/>
          </w:tcPr>
          <w:p>
            <w:pPr>
              <w:pStyle w:val="0"/>
              <w:jc w:val="center"/>
            </w:pPr>
            <w:r>
              <w:rPr>
                <w:sz w:val="24"/>
              </w:rPr>
              <w:t xml:space="preserve">номер и дата</w:t>
            </w:r>
          </w:p>
        </w:tc>
        <w:tc>
          <w:tcPr>
            <w:tcW w:w="1609" w:type="dxa"/>
            <w:vMerge w:val="restart"/>
          </w:tcPr>
          <w:p>
            <w:pPr>
              <w:pStyle w:val="0"/>
              <w:jc w:val="center"/>
            </w:pPr>
            <w:r>
              <w:rPr>
                <w:sz w:val="24"/>
              </w:rPr>
              <w:t xml:space="preserve">наименование поставщика</w:t>
            </w:r>
          </w:p>
        </w:tc>
        <w:tc>
          <w:tcPr>
            <w:gridSpan w:val="3"/>
            <w:tcW w:w="4977" w:type="dxa"/>
          </w:tcPr>
          <w:p>
            <w:pPr>
              <w:pStyle w:val="0"/>
              <w:jc w:val="center"/>
            </w:pPr>
            <w:r>
              <w:rPr>
                <w:sz w:val="24"/>
              </w:rPr>
              <w:t xml:space="preserve">наименование мобильного торгового объекта</w:t>
            </w:r>
          </w:p>
        </w:tc>
        <w:tc>
          <w:tcPr>
            <w:tcBorders>
              <w:right w:val="nil"/>
            </w:tcBorders>
            <w:vMerge w:val="continue"/>
          </w:tcP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tcW w:w="2299" w:type="dxa"/>
          </w:tcPr>
          <w:p>
            <w:pPr>
              <w:pStyle w:val="0"/>
              <w:jc w:val="center"/>
            </w:pPr>
            <w:r>
              <w:rPr>
                <w:sz w:val="24"/>
              </w:rPr>
              <w:t xml:space="preserve">марка, модель, идентификационный номер (VIN)</w:t>
            </w:r>
          </w:p>
        </w:tc>
        <w:tc>
          <w:tcPr>
            <w:tcW w:w="1339" w:type="dxa"/>
          </w:tcPr>
          <w:p>
            <w:pPr>
              <w:pStyle w:val="0"/>
              <w:jc w:val="center"/>
            </w:pPr>
            <w:r>
              <w:rPr>
                <w:sz w:val="24"/>
              </w:rPr>
              <w:t xml:space="preserve">количество, единиц</w:t>
            </w:r>
          </w:p>
        </w:tc>
        <w:tc>
          <w:tcPr>
            <w:tcW w:w="1339" w:type="dxa"/>
          </w:tcPr>
          <w:p>
            <w:pPr>
              <w:pStyle w:val="0"/>
              <w:jc w:val="center"/>
            </w:pPr>
            <w:r>
              <w:rPr>
                <w:sz w:val="24"/>
              </w:rPr>
              <w:t xml:space="preserve">стоимость мобильного торгового объекта, рублей</w:t>
            </w:r>
          </w:p>
        </w:tc>
        <w:tc>
          <w:tcPr>
            <w:tcBorders>
              <w:right w:val="nil"/>
            </w:tcBorders>
            <w:vMerge w:val="continue"/>
          </w:tcPr>
          <w:p/>
        </w:tc>
      </w:tr>
      <w:tr>
        <w:tc>
          <w:tcPr>
            <w:tcW w:w="1984" w:type="dxa"/>
            <w:tcBorders>
              <w:left w:val="nil"/>
            </w:tcBorders>
          </w:tcPr>
          <w:p>
            <w:pPr>
              <w:pStyle w:val="0"/>
              <w:jc w:val="center"/>
            </w:pPr>
            <w:r>
              <w:rPr>
                <w:sz w:val="24"/>
              </w:rPr>
              <w:t xml:space="preserve">1</w:t>
            </w:r>
          </w:p>
        </w:tc>
        <w:tc>
          <w:tcPr>
            <w:tcW w:w="619" w:type="dxa"/>
          </w:tcPr>
          <w:p>
            <w:pPr>
              <w:pStyle w:val="0"/>
              <w:jc w:val="center"/>
            </w:pPr>
            <w:r>
              <w:rPr>
                <w:sz w:val="24"/>
              </w:rPr>
              <w:t xml:space="preserve">2</w:t>
            </w:r>
          </w:p>
        </w:tc>
        <w:tc>
          <w:tcPr>
            <w:tcW w:w="1894" w:type="dxa"/>
          </w:tcPr>
          <w:p>
            <w:pPr>
              <w:pStyle w:val="0"/>
              <w:jc w:val="center"/>
            </w:pPr>
            <w:r>
              <w:rPr>
                <w:sz w:val="24"/>
              </w:rPr>
              <w:t xml:space="preserve">3</w:t>
            </w:r>
          </w:p>
        </w:tc>
        <w:tc>
          <w:tcPr>
            <w:tcW w:w="754" w:type="dxa"/>
          </w:tcPr>
          <w:p>
            <w:pPr>
              <w:pStyle w:val="0"/>
              <w:jc w:val="center"/>
            </w:pPr>
            <w:r>
              <w:rPr>
                <w:sz w:val="24"/>
              </w:rPr>
              <w:t xml:space="preserve">4</w:t>
            </w:r>
          </w:p>
        </w:tc>
        <w:tc>
          <w:tcPr>
            <w:tcW w:w="1609" w:type="dxa"/>
          </w:tcPr>
          <w:p>
            <w:pPr>
              <w:pStyle w:val="0"/>
              <w:jc w:val="center"/>
            </w:pPr>
            <w:r>
              <w:rPr>
                <w:sz w:val="24"/>
              </w:rPr>
              <w:t xml:space="preserve">5</w:t>
            </w:r>
          </w:p>
        </w:tc>
        <w:tc>
          <w:tcPr>
            <w:tcW w:w="2299" w:type="dxa"/>
          </w:tcPr>
          <w:p>
            <w:pPr>
              <w:pStyle w:val="0"/>
              <w:jc w:val="center"/>
            </w:pPr>
            <w:r>
              <w:rPr>
                <w:sz w:val="24"/>
              </w:rPr>
              <w:t xml:space="preserve">6</w:t>
            </w:r>
          </w:p>
        </w:tc>
        <w:tc>
          <w:tcPr>
            <w:tcW w:w="1339" w:type="dxa"/>
          </w:tcPr>
          <w:p>
            <w:pPr>
              <w:pStyle w:val="0"/>
              <w:jc w:val="center"/>
            </w:pPr>
            <w:r>
              <w:rPr>
                <w:sz w:val="24"/>
              </w:rPr>
              <w:t xml:space="preserve">7</w:t>
            </w:r>
          </w:p>
        </w:tc>
        <w:tc>
          <w:tcPr>
            <w:tcW w:w="1339" w:type="dxa"/>
          </w:tcPr>
          <w:p>
            <w:pPr>
              <w:pStyle w:val="0"/>
              <w:jc w:val="center"/>
            </w:pPr>
            <w:r>
              <w:rPr>
                <w:sz w:val="24"/>
              </w:rPr>
              <w:t xml:space="preserve">8</w:t>
            </w:r>
          </w:p>
        </w:tc>
        <w:tc>
          <w:tcPr>
            <w:tcW w:w="1774" w:type="dxa"/>
            <w:tcBorders>
              <w:right w:val="nil"/>
            </w:tcBorders>
          </w:tcPr>
          <w:p>
            <w:pPr>
              <w:pStyle w:val="0"/>
              <w:jc w:val="center"/>
            </w:pPr>
            <w:r>
              <w:rPr>
                <w:sz w:val="24"/>
              </w:rPr>
              <w:t xml:space="preserve">9</w:t>
            </w:r>
          </w:p>
        </w:tc>
      </w:tr>
      <w:tr>
        <w:tc>
          <w:tcPr>
            <w:tcW w:w="1984" w:type="dxa"/>
            <w:tcBorders>
              <w:left w:val="nil"/>
            </w:tcBorders>
          </w:tcPr>
          <w:p>
            <w:pPr>
              <w:pStyle w:val="0"/>
            </w:pPr>
            <w:r>
              <w:rPr>
                <w:sz w:val="24"/>
              </w:rPr>
            </w:r>
          </w:p>
        </w:tc>
        <w:tc>
          <w:tcPr>
            <w:tcW w:w="619" w:type="dxa"/>
          </w:tcPr>
          <w:p>
            <w:pPr>
              <w:pStyle w:val="0"/>
            </w:pPr>
            <w:r>
              <w:rPr>
                <w:sz w:val="24"/>
              </w:rPr>
            </w:r>
          </w:p>
        </w:tc>
        <w:tc>
          <w:tcPr>
            <w:tcW w:w="1894" w:type="dxa"/>
          </w:tcPr>
          <w:p>
            <w:pPr>
              <w:pStyle w:val="0"/>
            </w:pPr>
            <w:r>
              <w:rPr>
                <w:sz w:val="24"/>
              </w:rPr>
            </w:r>
          </w:p>
        </w:tc>
        <w:tc>
          <w:tcPr>
            <w:tcW w:w="754" w:type="dxa"/>
          </w:tcPr>
          <w:p>
            <w:pPr>
              <w:pStyle w:val="0"/>
            </w:pPr>
            <w:r>
              <w:rPr>
                <w:sz w:val="24"/>
              </w:rPr>
            </w:r>
          </w:p>
        </w:tc>
        <w:tc>
          <w:tcPr>
            <w:tcW w:w="1609" w:type="dxa"/>
          </w:tcPr>
          <w:p>
            <w:pPr>
              <w:pStyle w:val="0"/>
            </w:pPr>
            <w:r>
              <w:rPr>
                <w:sz w:val="24"/>
              </w:rPr>
            </w:r>
          </w:p>
        </w:tc>
        <w:tc>
          <w:tcPr>
            <w:tcW w:w="2299" w:type="dxa"/>
          </w:tcPr>
          <w:p>
            <w:pPr>
              <w:pStyle w:val="0"/>
            </w:pPr>
            <w:r>
              <w:rPr>
                <w:sz w:val="24"/>
              </w:rPr>
            </w:r>
          </w:p>
        </w:tc>
        <w:tc>
          <w:tcPr>
            <w:tcW w:w="1339" w:type="dxa"/>
          </w:tcPr>
          <w:p>
            <w:pPr>
              <w:pStyle w:val="0"/>
            </w:pPr>
            <w:r>
              <w:rPr>
                <w:sz w:val="24"/>
              </w:rPr>
            </w:r>
          </w:p>
        </w:tc>
        <w:tc>
          <w:tcPr>
            <w:tcW w:w="1339" w:type="dxa"/>
          </w:tcPr>
          <w:p>
            <w:pPr>
              <w:pStyle w:val="0"/>
            </w:pPr>
            <w:r>
              <w:rPr>
                <w:sz w:val="24"/>
              </w:rPr>
            </w:r>
          </w:p>
        </w:tc>
        <w:tc>
          <w:tcPr>
            <w:tcW w:w="1774" w:type="dxa"/>
            <w:tcBorders>
              <w:right w:val="nil"/>
            </w:tcBorders>
          </w:tcPr>
          <w:p>
            <w:pPr>
              <w:pStyle w:val="0"/>
            </w:pPr>
            <w:r>
              <w:rPr>
                <w:sz w:val="24"/>
              </w:rPr>
            </w:r>
          </w:p>
        </w:tc>
      </w:tr>
      <w:tr>
        <w:tc>
          <w:tcPr>
            <w:tcW w:w="1984" w:type="dxa"/>
            <w:tcBorders>
              <w:left w:val="nil"/>
            </w:tcBorders>
          </w:tcPr>
          <w:p>
            <w:pPr>
              <w:pStyle w:val="0"/>
            </w:pPr>
            <w:r>
              <w:rPr>
                <w:sz w:val="24"/>
              </w:rPr>
            </w:r>
          </w:p>
        </w:tc>
        <w:tc>
          <w:tcPr>
            <w:tcW w:w="619" w:type="dxa"/>
          </w:tcPr>
          <w:p>
            <w:pPr>
              <w:pStyle w:val="0"/>
            </w:pPr>
            <w:r>
              <w:rPr>
                <w:sz w:val="24"/>
              </w:rPr>
            </w:r>
          </w:p>
        </w:tc>
        <w:tc>
          <w:tcPr>
            <w:tcW w:w="1894" w:type="dxa"/>
          </w:tcPr>
          <w:p>
            <w:pPr>
              <w:pStyle w:val="0"/>
            </w:pPr>
            <w:r>
              <w:rPr>
                <w:sz w:val="24"/>
              </w:rPr>
            </w:r>
          </w:p>
        </w:tc>
        <w:tc>
          <w:tcPr>
            <w:tcW w:w="754" w:type="dxa"/>
          </w:tcPr>
          <w:p>
            <w:pPr>
              <w:pStyle w:val="0"/>
            </w:pPr>
            <w:r>
              <w:rPr>
                <w:sz w:val="24"/>
              </w:rPr>
            </w:r>
          </w:p>
        </w:tc>
        <w:tc>
          <w:tcPr>
            <w:tcW w:w="1609" w:type="dxa"/>
          </w:tcPr>
          <w:p>
            <w:pPr>
              <w:pStyle w:val="0"/>
            </w:pPr>
            <w:r>
              <w:rPr>
                <w:sz w:val="24"/>
              </w:rPr>
            </w:r>
          </w:p>
        </w:tc>
        <w:tc>
          <w:tcPr>
            <w:tcW w:w="2299" w:type="dxa"/>
          </w:tcPr>
          <w:p>
            <w:pPr>
              <w:pStyle w:val="0"/>
            </w:pPr>
            <w:r>
              <w:rPr>
                <w:sz w:val="24"/>
              </w:rPr>
            </w:r>
          </w:p>
        </w:tc>
        <w:tc>
          <w:tcPr>
            <w:tcW w:w="1339" w:type="dxa"/>
          </w:tcPr>
          <w:p>
            <w:pPr>
              <w:pStyle w:val="0"/>
            </w:pPr>
            <w:r>
              <w:rPr>
                <w:sz w:val="24"/>
              </w:rPr>
            </w:r>
          </w:p>
        </w:tc>
        <w:tc>
          <w:tcPr>
            <w:tcW w:w="1339" w:type="dxa"/>
          </w:tcPr>
          <w:p>
            <w:pPr>
              <w:pStyle w:val="0"/>
            </w:pPr>
            <w:r>
              <w:rPr>
                <w:sz w:val="24"/>
              </w:rPr>
            </w:r>
          </w:p>
        </w:tc>
        <w:tc>
          <w:tcPr>
            <w:tcW w:w="1774" w:type="dxa"/>
            <w:tcBorders>
              <w:right w:val="nil"/>
            </w:tcBorders>
          </w:tcPr>
          <w:p>
            <w:pPr>
              <w:pStyle w:val="0"/>
            </w:pPr>
            <w:r>
              <w:rPr>
                <w:sz w:val="24"/>
              </w:rPr>
            </w:r>
          </w:p>
        </w:tc>
      </w:tr>
      <w:tr>
        <w:tc>
          <w:tcPr>
            <w:tcW w:w="1984" w:type="dxa"/>
            <w:tcBorders>
              <w:left w:val="nil"/>
            </w:tcBorders>
          </w:tcPr>
          <w:p>
            <w:pPr>
              <w:pStyle w:val="0"/>
              <w:jc w:val="center"/>
            </w:pPr>
            <w:r>
              <w:rPr>
                <w:sz w:val="24"/>
              </w:rPr>
              <w:t xml:space="preserve">Итого</w:t>
            </w:r>
          </w:p>
        </w:tc>
        <w:tc>
          <w:tcPr>
            <w:tcW w:w="619" w:type="dxa"/>
          </w:tcPr>
          <w:p>
            <w:pPr>
              <w:pStyle w:val="0"/>
              <w:jc w:val="center"/>
            </w:pPr>
            <w:r>
              <w:rPr>
                <w:sz w:val="24"/>
              </w:rPr>
              <w:t xml:space="preserve">x</w:t>
            </w:r>
          </w:p>
        </w:tc>
        <w:tc>
          <w:tcPr>
            <w:tcW w:w="1894" w:type="dxa"/>
          </w:tcPr>
          <w:p>
            <w:pPr>
              <w:pStyle w:val="0"/>
              <w:jc w:val="center"/>
            </w:pPr>
            <w:r>
              <w:rPr>
                <w:sz w:val="24"/>
              </w:rPr>
              <w:t xml:space="preserve">x</w:t>
            </w:r>
          </w:p>
        </w:tc>
        <w:tc>
          <w:tcPr>
            <w:tcW w:w="754" w:type="dxa"/>
          </w:tcPr>
          <w:p>
            <w:pPr>
              <w:pStyle w:val="0"/>
              <w:jc w:val="center"/>
            </w:pPr>
            <w:r>
              <w:rPr>
                <w:sz w:val="24"/>
              </w:rPr>
              <w:t xml:space="preserve">x</w:t>
            </w:r>
          </w:p>
        </w:tc>
        <w:tc>
          <w:tcPr>
            <w:tcW w:w="1609" w:type="dxa"/>
          </w:tcPr>
          <w:p>
            <w:pPr>
              <w:pStyle w:val="0"/>
              <w:jc w:val="center"/>
            </w:pPr>
            <w:r>
              <w:rPr>
                <w:sz w:val="24"/>
              </w:rPr>
              <w:t xml:space="preserve">x</w:t>
            </w:r>
          </w:p>
        </w:tc>
        <w:tc>
          <w:tcPr>
            <w:tcW w:w="2299" w:type="dxa"/>
          </w:tcPr>
          <w:p>
            <w:pPr>
              <w:pStyle w:val="0"/>
              <w:jc w:val="center"/>
            </w:pPr>
            <w:r>
              <w:rPr>
                <w:sz w:val="24"/>
              </w:rPr>
              <w:t xml:space="preserve">x</w:t>
            </w:r>
          </w:p>
        </w:tc>
        <w:tc>
          <w:tcPr>
            <w:tcW w:w="1339" w:type="dxa"/>
          </w:tcPr>
          <w:p>
            <w:pPr>
              <w:pStyle w:val="0"/>
              <w:jc w:val="center"/>
            </w:pPr>
            <w:r>
              <w:rPr>
                <w:sz w:val="24"/>
              </w:rPr>
              <w:t xml:space="preserve">x</w:t>
            </w:r>
          </w:p>
        </w:tc>
        <w:tc>
          <w:tcPr>
            <w:tcW w:w="1339" w:type="dxa"/>
          </w:tcPr>
          <w:p>
            <w:pPr>
              <w:pStyle w:val="0"/>
            </w:pPr>
            <w:r>
              <w:rPr>
                <w:sz w:val="24"/>
              </w:rPr>
            </w:r>
          </w:p>
        </w:tc>
        <w:tc>
          <w:tcPr>
            <w:tcW w:w="1774" w:type="dxa"/>
            <w:tcBorders>
              <w:right w:val="nil"/>
            </w:tcBorders>
          </w:tcPr>
          <w:p>
            <w:pPr>
              <w:pStyle w:val="0"/>
            </w:pPr>
            <w:r>
              <w:rPr>
                <w:sz w:val="24"/>
              </w:rPr>
            </w:r>
          </w:p>
        </w:tc>
      </w:tr>
    </w:tbl>
    <w:p>
      <w:pPr>
        <w:sectPr>
          <w:headerReference w:type="default" r:id="rId8"/>
          <w:headerReference w:type="first" r:id="rId8"/>
          <w:footerReference w:type="default" r:id="rId9"/>
          <w:footerReference w:type="first" r:id="rId9"/>
          <w:pgSz w:w="16838" w:h="11906" w:orient="landscape"/>
          <w:pgMar w:top="1133" w:right="1440" w:bottom="566" w:left="1440" w:header="0" w:footer="0" w:gutter="0"/>
          <w:titlePg/>
        </w:sectPr>
      </w:pPr>
    </w:p>
    <w:p>
      <w:pPr>
        <w:pStyle w:val="0"/>
        <w:jc w:val="both"/>
      </w:pPr>
      <w:r>
        <w:rPr>
          <w:sz w:val="24"/>
        </w:rPr>
      </w:r>
    </w:p>
    <w:tbl>
      <w:tblPr>
        <w:tblInd w:w="0" w:type="dxa"/>
        <w:tblLayout w:type="fixed"/>
        <w:tblCellMar>
          <w:top w:w="102" w:type="dxa"/>
          <w:left w:w="62" w:type="dxa"/>
          <w:bottom w:w="102" w:type="dxa"/>
          <w:right w:w="62" w:type="dxa"/>
        </w:tblCellMar>
      </w:tblPr>
      <w:tblGrid>
        <w:gridCol w:w="4082"/>
        <w:gridCol w:w="340"/>
        <w:gridCol w:w="1417"/>
        <w:gridCol w:w="340"/>
        <w:gridCol w:w="2891"/>
      </w:tblGrid>
      <w:tr>
        <w:tc>
          <w:tcPr>
            <w:tcW w:w="4082" w:type="dxa"/>
            <w:tcBorders>
              <w:top w:val="nil"/>
              <w:left w:val="nil"/>
              <w:bottom w:val="nil"/>
              <w:right w:val="nil"/>
            </w:tcBorders>
          </w:tcPr>
          <w:p>
            <w:pPr>
              <w:pStyle w:val="0"/>
              <w:jc w:val="both"/>
            </w:pPr>
            <w:r>
              <w:rPr>
                <w:sz w:val="24"/>
              </w:rPr>
              <w:t xml:space="preserve">Руководитель</w:t>
            </w:r>
          </w:p>
          <w:p>
            <w:pPr>
              <w:pStyle w:val="0"/>
              <w:jc w:val="both"/>
            </w:pPr>
            <w:r>
              <w:rPr>
                <w:sz w:val="24"/>
              </w:rPr>
              <w:t xml:space="preserve">Минэкономразвития Чувашии</w:t>
            </w:r>
          </w:p>
          <w:p>
            <w:pPr>
              <w:pStyle w:val="0"/>
              <w:jc w:val="both"/>
            </w:pPr>
            <w:r>
              <w:rPr>
                <w:sz w:val="24"/>
              </w:rPr>
              <w:t xml:space="preserve">(заместитель руководителя)</w:t>
            </w:r>
          </w:p>
        </w:tc>
        <w:tc>
          <w:tcPr>
            <w:tcW w:w="340" w:type="dxa"/>
            <w:tcBorders>
              <w:top w:val="nil"/>
              <w:left w:val="nil"/>
              <w:bottom w:val="nil"/>
              <w:right w:val="nil"/>
            </w:tcBorders>
          </w:tcPr>
          <w:p>
            <w:pPr>
              <w:pStyle w:val="0"/>
            </w:pPr>
            <w:r>
              <w:rPr>
                <w:sz w:val="24"/>
              </w:rPr>
            </w:r>
          </w:p>
        </w:tc>
        <w:tc>
          <w:tcPr>
            <w:tcW w:w="1417"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2891" w:type="dxa"/>
            <w:tcBorders>
              <w:top w:val="nil"/>
              <w:left w:val="nil"/>
              <w:bottom w:val="single" w:sz="4"/>
              <w:right w:val="nil"/>
            </w:tcBorders>
          </w:tcPr>
          <w:p>
            <w:pPr>
              <w:pStyle w:val="0"/>
            </w:pPr>
            <w:r>
              <w:rPr>
                <w:sz w:val="24"/>
              </w:rPr>
            </w:r>
          </w:p>
        </w:tc>
      </w:tr>
      <w:tr>
        <w:tc>
          <w:tcPr>
            <w:tcW w:w="4082"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1417" w:type="dxa"/>
            <w:tcBorders>
              <w:top w:val="single" w:sz="4"/>
              <w:left w:val="nil"/>
              <w:bottom w:val="nil"/>
              <w:right w:val="nil"/>
            </w:tcBorders>
          </w:tcPr>
          <w:p>
            <w:pPr>
              <w:pStyle w:val="0"/>
              <w:jc w:val="center"/>
            </w:pPr>
            <w:r>
              <w:rPr>
                <w:sz w:val="24"/>
              </w:rPr>
              <w:t xml:space="preserve">(подпись)</w:t>
            </w:r>
          </w:p>
        </w:tc>
        <w:tc>
          <w:tcPr>
            <w:tcW w:w="340" w:type="dxa"/>
            <w:tcBorders>
              <w:top w:val="nil"/>
              <w:left w:val="nil"/>
              <w:bottom w:val="nil"/>
              <w:right w:val="nil"/>
            </w:tcBorders>
          </w:tcPr>
          <w:p>
            <w:pPr>
              <w:pStyle w:val="0"/>
            </w:pPr>
            <w:r>
              <w:rPr>
                <w:sz w:val="24"/>
              </w:rPr>
            </w:r>
          </w:p>
        </w:tc>
        <w:tc>
          <w:tcPr>
            <w:tcW w:w="2891" w:type="dxa"/>
            <w:tcBorders>
              <w:top w:val="single" w:sz="4"/>
              <w:left w:val="nil"/>
              <w:bottom w:val="nil"/>
              <w:right w:val="nil"/>
            </w:tcBorders>
          </w:tcPr>
          <w:p>
            <w:pPr>
              <w:pStyle w:val="0"/>
              <w:jc w:val="center"/>
            </w:pPr>
            <w:r>
              <w:rPr>
                <w:sz w:val="24"/>
              </w:rPr>
              <w:t xml:space="preserve">(расшифровка подписи)</w:t>
            </w:r>
          </w:p>
        </w:tc>
      </w:tr>
      <w:tr>
        <w:tc>
          <w:tcPr>
            <w:tcW w:w="4082" w:type="dxa"/>
            <w:tcBorders>
              <w:top w:val="nil"/>
              <w:left w:val="nil"/>
              <w:bottom w:val="nil"/>
              <w:right w:val="nil"/>
            </w:tcBorders>
          </w:tcPr>
          <w:p>
            <w:pPr>
              <w:pStyle w:val="0"/>
              <w:jc w:val="both"/>
            </w:pPr>
            <w:r>
              <w:rPr>
                <w:sz w:val="24"/>
              </w:rPr>
              <w:t xml:space="preserve">Исполнитель:</w:t>
            </w:r>
          </w:p>
          <w:p>
            <w:pPr>
              <w:pStyle w:val="0"/>
            </w:pPr>
            <w:r>
              <w:rPr>
                <w:sz w:val="24"/>
              </w:rPr>
              <w:t xml:space="preserve">специалист Минэкономразвития Чувашии</w:t>
            </w:r>
          </w:p>
        </w:tc>
        <w:tc>
          <w:tcPr>
            <w:tcW w:w="340" w:type="dxa"/>
            <w:tcBorders>
              <w:top w:val="nil"/>
              <w:left w:val="nil"/>
              <w:bottom w:val="nil"/>
              <w:right w:val="nil"/>
            </w:tcBorders>
          </w:tcPr>
          <w:p>
            <w:pPr>
              <w:pStyle w:val="0"/>
            </w:pPr>
            <w:r>
              <w:rPr>
                <w:sz w:val="24"/>
              </w:rPr>
            </w:r>
          </w:p>
        </w:tc>
        <w:tc>
          <w:tcPr>
            <w:tcW w:w="1417"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2891" w:type="dxa"/>
            <w:tcBorders>
              <w:top w:val="nil"/>
              <w:left w:val="nil"/>
              <w:bottom w:val="single" w:sz="4"/>
              <w:right w:val="nil"/>
            </w:tcBorders>
          </w:tcPr>
          <w:p>
            <w:pPr>
              <w:pStyle w:val="0"/>
            </w:pPr>
            <w:r>
              <w:rPr>
                <w:sz w:val="24"/>
              </w:rPr>
            </w:r>
          </w:p>
        </w:tc>
      </w:tr>
      <w:tr>
        <w:tc>
          <w:tcPr>
            <w:tcW w:w="4082"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1417" w:type="dxa"/>
            <w:tcBorders>
              <w:top w:val="single" w:sz="4"/>
              <w:left w:val="nil"/>
              <w:bottom w:val="nil"/>
              <w:right w:val="nil"/>
            </w:tcBorders>
          </w:tcPr>
          <w:p>
            <w:pPr>
              <w:pStyle w:val="0"/>
              <w:jc w:val="center"/>
            </w:pPr>
            <w:r>
              <w:rPr>
                <w:sz w:val="24"/>
              </w:rPr>
              <w:t xml:space="preserve">(подпись)</w:t>
            </w:r>
          </w:p>
        </w:tc>
        <w:tc>
          <w:tcPr>
            <w:tcW w:w="340" w:type="dxa"/>
            <w:tcBorders>
              <w:top w:val="nil"/>
              <w:left w:val="nil"/>
              <w:bottom w:val="nil"/>
              <w:right w:val="nil"/>
            </w:tcBorders>
          </w:tcPr>
          <w:p>
            <w:pPr>
              <w:pStyle w:val="0"/>
            </w:pPr>
            <w:r>
              <w:rPr>
                <w:sz w:val="24"/>
              </w:rPr>
            </w:r>
          </w:p>
        </w:tc>
        <w:tc>
          <w:tcPr>
            <w:tcW w:w="2891" w:type="dxa"/>
            <w:tcBorders>
              <w:top w:val="single" w:sz="4"/>
              <w:left w:val="nil"/>
              <w:bottom w:val="nil"/>
              <w:right w:val="nil"/>
            </w:tcBorders>
          </w:tcPr>
          <w:p>
            <w:pPr>
              <w:pStyle w:val="0"/>
              <w:jc w:val="center"/>
            </w:pPr>
            <w:r>
              <w:rPr>
                <w:sz w:val="24"/>
              </w:rPr>
              <w:t xml:space="preserve">(расшифровка подписи)</w:t>
            </w:r>
          </w:p>
        </w:tc>
      </w:tr>
      <w:tr>
        <w:tc>
          <w:tcPr>
            <w:gridSpan w:val="5"/>
            <w:tcW w:w="9070" w:type="dxa"/>
            <w:tcBorders>
              <w:top w:val="nil"/>
              <w:left w:val="nil"/>
              <w:bottom w:val="nil"/>
              <w:right w:val="nil"/>
            </w:tcBorders>
          </w:tcPr>
          <w:p>
            <w:pPr>
              <w:pStyle w:val="0"/>
              <w:jc w:val="both"/>
            </w:pPr>
            <w:r>
              <w:rPr>
                <w:sz w:val="24"/>
              </w:rPr>
              <w:t xml:space="preserve">____ ____________ 20___ г.</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Кабинета Министров ЧР от 30.12.2025 N 800</w:t>
            <w:br/>
            <w:t>(ред. от 12.08.2026)</w:t>
            <w:br/>
            <w:t>"Об утверждении Правил предоставления из ре...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17.08.2026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Кабинета Министров ЧР от 30.12.2025 N 800</w:t>
            <w:br/>
            <w:t>(ред. от 12.08.2026)</w:t>
            <w:br/>
            <w:t>"Об утверждении Правил предоставления из ре...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Кабинета Министров ЧР от 30.12.2025 N 800
(ред. от 12.08.2026)
"Об утверждении Правил предоставления из республиканского бюджета Чувашской Республики субсидий на возмещение части затрат на приобретение мобильных торговых объектов"</dc:title>
  <dcterms:created xsi:type="dcterms:W3CDTF">2026-08-17T13:43:29Z</dcterms:created>
</cp:coreProperties>
</file>