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</w:t>
      </w:r>
      <w:r>
        <w:rPr>
          <w:b/>
          <w:sz w:val="26"/>
          <w:szCs w:val="26"/>
        </w:rPr>
        <w:t xml:space="preserve">ОЯСНИТЕЛЬНАЯ ЗАПИСКА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проекту </w:t>
      </w:r>
      <w:r>
        <w:rPr>
          <w:b/>
          <w:sz w:val="26"/>
          <w:szCs w:val="26"/>
        </w:rPr>
        <w:t xml:space="preserve">закона</w:t>
      </w:r>
      <w:r>
        <w:rPr>
          <w:b/>
          <w:sz w:val="26"/>
          <w:szCs w:val="26"/>
        </w:rPr>
        <w:t xml:space="preserve"> Чувашской Республики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-4"/>
          <w:sz w:val="26"/>
          <w:szCs w:val="26"/>
          <w:highlight w:val="white"/>
        </w:rPr>
        <w:t xml:space="preserve">О внесении измен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-4"/>
          <w:sz w:val="26"/>
          <w:szCs w:val="26"/>
          <w:highlight w:val="white"/>
        </w:rPr>
        <w:t xml:space="preserve">ений в Закон Чувашской Республики «О перераспределении полномочий в области дорожной деятельности по проектированию, строительству, реконструкции автомобильных дорог общего пользования местного значения между органами местного самоуправлени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-4"/>
          <w:sz w:val="26"/>
          <w:szCs w:val="26"/>
          <w:highlight w:val="white"/>
        </w:rPr>
        <w:t xml:space="preserve">я городских, сельских поселений, муниципальных районов и муниципальных округов Чувашской Республики и органами государственной власти Чувашской Республики</w:t>
      </w:r>
      <w:r>
        <w:rPr>
          <w:b/>
          <w:sz w:val="26"/>
          <w:szCs w:val="26"/>
        </w:rPr>
        <w:t xml:space="preserve">»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70"/>
        <w:ind w:firstLine="709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870"/>
        <w:ind w:firstLine="709"/>
        <w:jc w:val="both"/>
        <w:rPr>
          <w:color w:val="000000" w:themeColor="text1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П</w:t>
      </w:r>
      <w:r>
        <w:rPr>
          <w:b w:val="0"/>
          <w:bCs w:val="0"/>
          <w:sz w:val="26"/>
          <w:szCs w:val="26"/>
        </w:rPr>
        <w:t xml:space="preserve">роектом </w:t>
      </w:r>
      <w:r>
        <w:rPr>
          <w:b w:val="0"/>
          <w:bCs w:val="0"/>
          <w:sz w:val="26"/>
          <w:szCs w:val="26"/>
        </w:rPr>
        <w:t xml:space="preserve">закона Чувашской Республики </w:t>
      </w:r>
      <w:r>
        <w:rPr>
          <w:b w:val="0"/>
          <w:bCs w:val="0"/>
          <w:sz w:val="26"/>
          <w:szCs w:val="26"/>
        </w:rPr>
        <w:t xml:space="preserve">«О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pacing w:val="-4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pacing w:val="-4"/>
          <w:sz w:val="26"/>
          <w:szCs w:val="26"/>
          <w:highlight w:val="white"/>
        </w:rPr>
        <w:t xml:space="preserve">внесении изм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pacing w:val="-4"/>
          <w:sz w:val="26"/>
          <w:szCs w:val="26"/>
          <w:highlight w:val="white"/>
        </w:rPr>
        <w:t xml:space="preserve">енений в Закон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pacing w:val="-4"/>
          <w:sz w:val="26"/>
          <w:szCs w:val="26"/>
          <w:highlight w:val="white"/>
        </w:rPr>
        <w:t xml:space="preserve"> Чувашской Республики «О перераспределении полномочий в области дорожной деятельности по проектированию, строительству, реконструкции автомобильных дорог общего пользования местного значения между органами местного самоуправлени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pacing w:val="-4"/>
          <w:sz w:val="26"/>
          <w:szCs w:val="26"/>
          <w:highlight w:val="white"/>
        </w:rPr>
        <w:t xml:space="preserve">я городских, сельских поселений, муниципальных районов и муниципальных округов Чувашской Республики и органами государственной власти Чувашской Республики</w:t>
      </w:r>
      <w:r>
        <w:rPr>
          <w:b w:val="0"/>
          <w:bCs w:val="0"/>
          <w:color w:val="000000" w:themeColor="text1"/>
          <w:sz w:val="26"/>
          <w:szCs w:val="26"/>
        </w:rPr>
        <w:t xml:space="preserve">» (далее – проект закона Чувашской Республики) </w:t>
      </w:r>
      <w:r>
        <w:rPr>
          <w:b w:val="0"/>
          <w:bCs w:val="0"/>
          <w:color w:val="000000" w:themeColor="text1"/>
          <w:sz w:val="26"/>
          <w:szCs w:val="26"/>
        </w:rPr>
        <w:t xml:space="preserve">предус</w:t>
      </w:r>
      <w:r>
        <w:rPr>
          <w:b w:val="0"/>
          <w:bCs w:val="0"/>
          <w:color w:val="000000" w:themeColor="text1"/>
          <w:sz w:val="26"/>
          <w:szCs w:val="26"/>
        </w:rPr>
        <w:t xml:space="preserve">матривается внесение изм</w:t>
      </w:r>
      <w:r>
        <w:rPr>
          <w:b w:val="0"/>
          <w:bCs w:val="0"/>
          <w:color w:val="000000" w:themeColor="text1"/>
          <w:sz w:val="26"/>
          <w:szCs w:val="26"/>
        </w:rPr>
        <w:t xml:space="preserve">е</w:t>
      </w:r>
      <w:r>
        <w:rPr>
          <w:b w:val="0"/>
          <w:bCs w:val="0"/>
          <w:color w:val="000000" w:themeColor="text1"/>
          <w:sz w:val="26"/>
          <w:szCs w:val="26"/>
        </w:rPr>
        <w:t xml:space="preserve">нени</w:t>
      </w:r>
      <w:r>
        <w:rPr>
          <w:b w:val="0"/>
          <w:bCs w:val="0"/>
          <w:color w:val="000000" w:themeColor="text1"/>
          <w:sz w:val="26"/>
          <w:szCs w:val="26"/>
        </w:rPr>
        <w:t xml:space="preserve">й</w:t>
      </w:r>
      <w:r>
        <w:rPr>
          <w:b w:val="0"/>
          <w:bCs w:val="0"/>
          <w:color w:val="000000" w:themeColor="text1"/>
          <w:sz w:val="26"/>
          <w:szCs w:val="26"/>
        </w:rPr>
        <w:t xml:space="preserve"> </w:t>
      </w:r>
      <w:r>
        <w:rPr>
          <w:b w:val="0"/>
          <w:bCs w:val="0"/>
          <w:color w:val="000000" w:themeColor="text1"/>
          <w:sz w:val="26"/>
          <w:szCs w:val="26"/>
        </w:rPr>
        <w:t xml:space="preserve">в Закон Чувашской Республики от 29 декабря 2015 г. № 84 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pacing w:val="-4"/>
          <w:sz w:val="26"/>
          <w:szCs w:val="26"/>
          <w:highlight w:val="white"/>
        </w:rPr>
        <w:t xml:space="preserve">О перераспределении полномочий в области дорожной деятельности по проектированию, строительству, реконструкции автомобильных дорог общего пользования местного значения между органами местного самоуправлени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pacing w:val="-4"/>
          <w:sz w:val="26"/>
          <w:szCs w:val="26"/>
          <w:highlight w:val="white"/>
        </w:rPr>
        <w:t xml:space="preserve">я городских, сельских поселений, муниципальных районов и муниципальных округов Чувашской Республики и органами государственной власти Чувашской Республики</w:t>
      </w:r>
      <w:r>
        <w:rPr>
          <w:color w:val="000000" w:themeColor="text1"/>
          <w:sz w:val="26"/>
          <w:szCs w:val="26"/>
        </w:rPr>
        <w:t xml:space="preserve">»</w:t>
      </w:r>
      <w:r>
        <w:rPr>
          <w:color w:val="000000" w:themeColor="text1"/>
          <w:sz w:val="26"/>
          <w:szCs w:val="26"/>
        </w:rPr>
        <w:t xml:space="preserve">.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white"/>
        </w:rPr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white"/>
        </w:rPr>
        <w:t xml:space="preserve">Согласно </w:t>
      </w:r>
      <w:r>
        <w:rPr>
          <w:rFonts w:ascii="PT Astra Serif" w:hAnsi="PT Astra Serif" w:eastAsia="PT Astra Serif" w:cs="PT Astra Serif"/>
          <w:color w:val="000000"/>
          <w:spacing w:val="-4"/>
          <w:sz w:val="26"/>
          <w:szCs w:val="26"/>
          <w:highlight w:val="white"/>
        </w:rPr>
        <w:t xml:space="preserve">статье 13 Федерального закона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white"/>
        </w:rPr>
        <w:t xml:space="preserve"> осуществление дорожной деятельности в отношении автомобильных дорог местного значения относится к полномочиям органов местного самоуправления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white"/>
        </w:rPr>
        <w:t xml:space="preserve">. </w:t>
      </w:r>
      <w:r>
        <w:rPr>
          <w:rFonts w:ascii="PT Astra Serif" w:hAnsi="PT Astra Serif" w:cs="PT Astra Serif"/>
          <w:color w:val="000000" w:themeColor="text1"/>
          <w:sz w:val="26"/>
          <w:szCs w:val="26"/>
          <w:highlight w:val="white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  <w:highlight w:val="white"/>
        </w:rPr>
      </w:r>
    </w:p>
    <w:p>
      <w:pPr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white"/>
        </w:rPr>
        <w:t xml:space="preserve">Согласно статье 3 Федерального закона № 257-ФЗ дорожная деятельность включает в себя в том числе деятельность по проектированию, строительству, реконструкции автомобильных дорог. </w:t>
      </w:r>
      <w:r>
        <w:rPr>
          <w:rFonts w:ascii="PT Astra Serif" w:hAnsi="PT Astra Serif" w:cs="PT Astra Serif"/>
          <w:color w:val="000000" w:themeColor="text1"/>
          <w:sz w:val="26"/>
          <w:szCs w:val="26"/>
          <w:highlight w:val="white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Согласно статье 13.2 Федер</w:t>
      </w:r>
      <w:r>
        <w:rPr>
          <w:color w:val="000000" w:themeColor="text1"/>
          <w:sz w:val="26"/>
          <w:szCs w:val="26"/>
        </w:rPr>
        <w:t xml:space="preserve">ального закона № 257-ФЗ 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деятельности, установленные Федеральным законом № 257-ФЗ, могут быть перераспределены между </w:t>
      </w:r>
      <w:r>
        <w:rPr>
          <w:color w:val="000000" w:themeColor="text1"/>
          <w:sz w:val="26"/>
          <w:szCs w:val="26"/>
        </w:rPr>
        <w:t xml:space="preserve">ними в порядке, предусмотренном статьей 17 </w:t>
      </w:r>
      <w:r>
        <w:rPr>
          <w:rFonts w:ascii="PT Astra Serif" w:hAnsi="PT Astra Serif" w:eastAsia="PT Astra Serif" w:cs="PT Astra Serif"/>
          <w:color w:val="000000"/>
          <w:spacing w:val="-4"/>
          <w:sz w:val="26"/>
          <w:szCs w:val="26"/>
          <w:highlight w:val="white"/>
        </w:rPr>
        <w:t xml:space="preserve">Федерального закона от 06 октября 2003 г.       № 131-ФЗ «Об общих принципах организации местного самоуправления в Российской Федерации»</w:t>
      </w:r>
      <w:r>
        <w:rPr>
          <w:color w:val="000000" w:themeColor="text1"/>
          <w:sz w:val="26"/>
          <w:szCs w:val="26"/>
        </w:rPr>
        <w:t xml:space="preserve">, a именно на основании закона субъекта Российской Федерации. 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Таким образом, объем перераспределяемых полномочий определяется законом субъекта Российской Федерации. 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  <w:highlight w:val="white"/>
        </w:rPr>
      </w:pPr>
      <w:r>
        <w:rPr>
          <w:color w:val="000000" w:themeColor="text1"/>
          <w:sz w:val="26"/>
          <w:szCs w:val="26"/>
        </w:rPr>
        <w:t xml:space="preserve">C учетом </w:t>
      </w:r>
      <w:r>
        <w:rPr>
          <w:color w:val="000000" w:themeColor="text1"/>
          <w:sz w:val="26"/>
          <w:szCs w:val="26"/>
        </w:rPr>
        <w:t xml:space="preserve">высоко</w:t>
      </w:r>
      <w:r>
        <w:rPr>
          <w:color w:val="000000" w:themeColor="text1"/>
          <w:sz w:val="26"/>
          <w:szCs w:val="26"/>
        </w:rPr>
        <w:t xml:space="preserve">й социальной значимости строительства перспективных масштабных объектов (</w:t>
      </w:r>
      <w:r>
        <w:rPr>
          <w:color w:val="000000" w:themeColor="text1"/>
          <w:sz w:val="26"/>
          <w:szCs w:val="26"/>
        </w:rPr>
        <w:t xml:space="preserve">дублер марпосадского шоссе, </w:t>
      </w:r>
      <w:r>
        <w:rPr>
          <w:color w:val="000000" w:themeColor="text1"/>
          <w:sz w:val="26"/>
          <w:szCs w:val="26"/>
        </w:rPr>
        <w:t xml:space="preserve">третье транспортное полукольцо</w:t>
      </w:r>
      <w:r>
        <w:rPr>
          <w:color w:val="000000" w:themeColor="text1"/>
          <w:sz w:val="26"/>
          <w:szCs w:val="26"/>
        </w:rPr>
        <w:t xml:space="preserve"> городского округа города Чебоксары Чувашской Республики)</w:t>
      </w:r>
      <w:r>
        <w:rPr>
          <w:color w:val="000000" w:themeColor="text1"/>
          <w:sz w:val="26"/>
          <w:szCs w:val="26"/>
        </w:rPr>
        <w:t xml:space="preserve">, сложности их проектирования, строительства и реконструкции, значительного объема финансирования таких работ законопроектом предлагается перераспределить полномочия органов местного самоуправления по осуществлению дорожной деятельн</w:t>
      </w:r>
      <w:r>
        <w:rPr>
          <w:color w:val="000000" w:themeColor="text1"/>
          <w:sz w:val="26"/>
          <w:szCs w:val="26"/>
        </w:rPr>
        <w:t xml:space="preserve">ости в части осуществления проектных и (или) изыcкaтeль</w:t>
      </w:r>
      <w:r>
        <w:rPr>
          <w:color w:val="000000" w:themeColor="text1"/>
          <w:sz w:val="26"/>
          <w:szCs w:val="26"/>
        </w:rPr>
        <w:t xml:space="preserve">cкиx работ, работ по строительству (реконструкции) автомобильных дорог местного значения</w:t>
      </w:r>
      <w:r>
        <w:rPr>
          <w:color w:val="000000" w:themeColor="text1"/>
          <w:sz w:val="26"/>
          <w:szCs w:val="26"/>
        </w:rPr>
        <w:t xml:space="preserve"> стоимость реализации которых превышает 2 миллиарда рублей, в том числе с учетом реализации c полным или</w:t>
      </w:r>
      <w:r>
        <w:rPr>
          <w:color w:val="000000" w:themeColor="text1"/>
          <w:sz w:val="26"/>
          <w:szCs w:val="26"/>
        </w:rPr>
        <w:t xml:space="preserve"> частичным федеральным coфинaнcиpoвaниeм.</w:t>
      </w:r>
      <w:r>
        <w:rPr>
          <w:rFonts w:ascii="PT Astra Serif" w:hAnsi="PT Astra Serif" w:cs="PT Astra Serif"/>
          <w:color w:val="000000" w:themeColor="text1"/>
          <w:sz w:val="26"/>
          <w:szCs w:val="26"/>
          <w:highlight w:val="white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  <w:highlight w:val="white"/>
        </w:rPr>
      </w:r>
    </w:p>
    <w:p>
      <w:pPr>
        <w:ind w:firstLine="709"/>
        <w:jc w:val="both"/>
        <w:rPr>
          <w:color w:val="000000" w:themeColor="text1"/>
          <w:sz w:val="26"/>
          <w:szCs w:val="26"/>
          <w:highlight w:val="green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white"/>
        </w:rPr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white"/>
        </w:rPr>
        <w:t xml:space="preserve">Централизац</w:t>
      </w:r>
      <w:r>
        <w:rPr>
          <w:color w:val="000000" w:themeColor="text1"/>
          <w:sz w:val="26"/>
          <w:szCs w:val="26"/>
        </w:rPr>
        <w:t xml:space="preserve">ия полномочий на уровне Чувашской Республики c учетом синхронизации деятельности всех уполномоченных органов позволит оперативно решать вопросы </w:t>
      </w:r>
      <w:r>
        <w:rPr>
          <w:color w:val="000000" w:themeColor="text1"/>
          <w:sz w:val="26"/>
          <w:szCs w:val="26"/>
        </w:rPr>
        <w:t xml:space="preserve">в сфере</w:t>
      </w:r>
      <w:r>
        <w:rPr>
          <w:color w:val="000000" w:themeColor="text1"/>
          <w:sz w:val="26"/>
          <w:szCs w:val="26"/>
        </w:rPr>
        <w:t xml:space="preserve"> градостроительной и автодорожной деятельности в Чувашской Республике, будет способствовать ее единообразию и совершенствованию. Кроме того, перераспределение соответствующих полномочий направлено на более эффективное осуществление контроля за ходом строит</w:t>
      </w:r>
      <w:r>
        <w:rPr>
          <w:color w:val="000000" w:themeColor="text1"/>
          <w:sz w:val="26"/>
          <w:szCs w:val="26"/>
        </w:rPr>
        <w:t xml:space="preserve">ельства, реконструкции, капитального ремонта объектов капитального строительства, указанных в законопроекте. </w:t>
      </w:r>
      <w:r>
        <w:rPr>
          <w:color w:val="000000" w:themeColor="text1"/>
          <w:sz w:val="26"/>
          <w:szCs w:val="26"/>
          <w:highlight w:val="green"/>
        </w:rPr>
        <w:t xml:space="preserve">Реализация этапов и видов работ по проектированию, строительству, реконструкции, капитальному ремонту объектов капитального строительства осуществляется с учетом согласования с собственником автомобильных дорог.   </w:t>
      </w:r>
      <w:r>
        <w:rPr>
          <w:color w:val="000000" w:themeColor="text1"/>
          <w:sz w:val="26"/>
          <w:szCs w:val="26"/>
          <w:highlight w:val="green"/>
        </w:rPr>
        <w:t xml:space="preserve"> </w:t>
      </w:r>
      <w:r>
        <w:rPr>
          <w:color w:val="000000" w:themeColor="text1"/>
          <w:sz w:val="26"/>
          <w:szCs w:val="26"/>
          <w:highlight w:val="green"/>
        </w:rPr>
      </w:r>
      <w:r>
        <w:rPr>
          <w:color w:val="000000" w:themeColor="text1"/>
          <w:sz w:val="26"/>
          <w:szCs w:val="26"/>
          <w:highlight w:val="green"/>
        </w:rPr>
      </w:r>
    </w:p>
    <w:p>
      <w:pPr>
        <w:pStyle w:val="870"/>
        <w:ind w:firstLine="709"/>
        <w:jc w:val="both"/>
        <w:rPr>
          <w:color w:val="000000" w:themeColor="text1"/>
          <w:sz w:val="26"/>
          <w:szCs w:val="26"/>
          <w:highlight w:val="none"/>
        </w:rPr>
      </w:pPr>
      <w:r>
        <w:rPr>
          <w:color w:val="000000" w:themeColor="text1"/>
          <w:sz w:val="26"/>
          <w:szCs w:val="26"/>
        </w:rPr>
        <w:t xml:space="preserve">Проект закона Чувашской Республики не устанавливает новые, не изменяет ранее предусмотренные нормативными правовыми актами Чувашской Республики обязательные требования, связанные с осуществлением предпринимательской и иной экономической де</w:t>
      </w:r>
      <w:r>
        <w:rPr>
          <w:color w:val="000000" w:themeColor="text1"/>
          <w:sz w:val="26"/>
          <w:szCs w:val="26"/>
        </w:rPr>
        <w:t xml:space="preserve">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</w:t>
      </w:r>
      <w:r>
        <w:rPr>
          <w:color w:val="000000" w:themeColor="text1"/>
          <w:sz w:val="26"/>
          <w:szCs w:val="26"/>
        </w:rPr>
        <w:t xml:space="preserve">спертиз; не устанавливает новые и</w:t>
      </w:r>
      <w:r>
        <w:rPr>
          <w:color w:val="000000" w:themeColor="text1"/>
          <w:sz w:val="26"/>
          <w:szCs w:val="26"/>
        </w:rPr>
        <w:t xml:space="preserve"> не изменяет ранее предусмотренные нормативными правовыми актами Чувашской Республики обязанности и запреты для субъектов предпринимательской и инвестиционной</w:t>
      </w:r>
      <w:r>
        <w:rPr>
          <w:color w:val="000000" w:themeColor="text1"/>
          <w:sz w:val="26"/>
          <w:szCs w:val="26"/>
        </w:rPr>
        <w:t xml:space="preserve"> деятельности; не устанавливает и</w:t>
      </w:r>
      <w:r>
        <w:rPr>
          <w:color w:val="000000" w:themeColor="text1"/>
          <w:sz w:val="26"/>
          <w:szCs w:val="26"/>
        </w:rPr>
        <w:t xml:space="preserve"> не изменяет ответственность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деятельности, в связи с чем оценка регулирующего воздействия </w:t>
      </w:r>
      <w:r>
        <w:rPr>
          <w:color w:val="000000" w:themeColor="text1"/>
          <w:sz w:val="26"/>
          <w:szCs w:val="26"/>
        </w:rPr>
        <w:t xml:space="preserve">проекта закона Чувашской Республики </w:t>
      </w:r>
      <w:r>
        <w:rPr>
          <w:color w:val="000000" w:themeColor="text1"/>
          <w:sz w:val="26"/>
          <w:szCs w:val="26"/>
        </w:rPr>
        <w:t xml:space="preserve">не проводится.</w:t>
      </w:r>
      <w:r>
        <w:rPr>
          <w:color w:val="000000" w:themeColor="text1"/>
          <w:sz w:val="26"/>
          <w:szCs w:val="26"/>
          <w:highlight w:val="none"/>
        </w:rPr>
      </w:r>
      <w:r>
        <w:rPr>
          <w:color w:val="000000" w:themeColor="text1"/>
          <w:sz w:val="26"/>
          <w:szCs w:val="26"/>
          <w:highlight w:val="none"/>
        </w:rPr>
      </w:r>
    </w:p>
    <w:p>
      <w:pPr>
        <w:pStyle w:val="87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данного проекта </w:t>
      </w:r>
      <w:r>
        <w:rPr>
          <w:sz w:val="26"/>
          <w:szCs w:val="26"/>
        </w:rPr>
        <w:t xml:space="preserve">закона Чувашской Республики</w:t>
      </w:r>
      <w:r>
        <w:rPr>
          <w:sz w:val="26"/>
          <w:szCs w:val="26"/>
        </w:rPr>
        <w:t xml:space="preserve"> не потребует выделения дополнительных средс</w:t>
      </w:r>
      <w:r>
        <w:rPr>
          <w:sz w:val="26"/>
          <w:szCs w:val="26"/>
        </w:rPr>
        <w:t xml:space="preserve">тв из республиканского бюджета Чувашской Ре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публики.</w:t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3"/>
        <w:gridCol w:w="3537"/>
        <w:gridCol w:w="1780"/>
      </w:tblGrid>
      <w:tr>
        <w:tblPrEx/>
        <w:trPr>
          <w:trHeight w:val="170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sz w:val="26"/>
                <w:szCs w:val="26"/>
              </w:rPr>
              <w:outlineLvl w:val="1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0"/>
              <w:jc w:val="both"/>
              <w:rPr>
                <w:sz w:val="26"/>
                <w:szCs w:val="26"/>
              </w:rPr>
              <w:outlineLvl w:val="1"/>
            </w:pPr>
            <w:r>
              <w:rPr>
                <w:sz w:val="26"/>
                <w:szCs w:val="26"/>
              </w:rPr>
              <w:t xml:space="preserve">М</w:t>
            </w:r>
            <w:r>
              <w:rPr>
                <w:sz w:val="26"/>
                <w:szCs w:val="26"/>
              </w:rPr>
              <w:t xml:space="preserve">инистр транспорта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0"/>
              <w:jc w:val="both"/>
              <w:rPr>
                <w:sz w:val="26"/>
                <w:szCs w:val="26"/>
              </w:rPr>
              <w:outlineLvl w:val="1"/>
            </w:pPr>
            <w:r>
              <w:rPr>
                <w:sz w:val="26"/>
                <w:szCs w:val="26"/>
              </w:rPr>
              <w:t xml:space="preserve">и дорожного хозяйства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0"/>
              <w:jc w:val="both"/>
              <w:rPr>
                <w:sz w:val="26"/>
                <w:szCs w:val="26"/>
              </w:rPr>
              <w:outlineLvl w:val="1"/>
            </w:pPr>
            <w:r>
              <w:rPr>
                <w:sz w:val="26"/>
                <w:szCs w:val="26"/>
              </w:rPr>
              <w:t xml:space="preserve">Ч</w:t>
            </w:r>
            <w:r>
              <w:rPr>
                <w:sz w:val="26"/>
                <w:szCs w:val="26"/>
              </w:rPr>
              <w:t xml:space="preserve">увашской Республики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37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sz w:val="26"/>
                <w:szCs w:val="26"/>
              </w:rPr>
              <w:outlineLvl w:val="1"/>
            </w:pPr>
            <w:r>
              <w:rPr>
                <w:bCs/>
                <w:sz w:val="26"/>
                <w:szCs w:val="26"/>
              </w:rPr>
              <w:fldChar w:fldCharType="begin"/>
            </w:r>
            <w:r>
              <w:rPr>
                <w:bCs/>
                <w:sz w:val="26"/>
                <w:szCs w:val="26"/>
              </w:rPr>
              <w:instrText xml:space="preserve"> SHAPE  \* MERGEFORMAT </w:instrText>
            </w:r>
            <w:r>
              <w:rPr>
                <w:bCs/>
                <w:sz w:val="26"/>
                <w:szCs w:val="26"/>
              </w:rPr>
              <w:fldChar w:fldCharType="separate"/>
            </w:r>
            <w:r>
              <w:rPr>
                <w:bCs/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92120" cy="859931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87349882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1992119" cy="8599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56.86pt;height:67.71pt;mso-wrap-distance-left:0.00pt;mso-wrap-distance-top:0.00pt;mso-wrap-distance-right:0.00pt;mso-wrap-distance-bottom:0.00pt;rotation:0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80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sz w:val="26"/>
                <w:szCs w:val="26"/>
              </w:rPr>
              <w:outlineLvl w:val="1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0"/>
              <w:jc w:val="both"/>
              <w:rPr>
                <w:sz w:val="26"/>
                <w:szCs w:val="26"/>
              </w:rPr>
              <w:outlineLvl w:val="1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0"/>
              <w:jc w:val="both"/>
              <w:rPr>
                <w:sz w:val="26"/>
                <w:szCs w:val="26"/>
              </w:rPr>
              <w:outlineLvl w:val="1"/>
            </w:pPr>
            <w:r>
              <w:rPr>
                <w:sz w:val="26"/>
                <w:szCs w:val="26"/>
              </w:rPr>
              <w:t xml:space="preserve">М.М. Петров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r/>
      <w:r/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rPr>
        <w:rStyle w:val="877"/>
      </w:rPr>
      <w:framePr w:wrap="around" w:vAnchor="text" w:hAnchor="margin" w:xAlign="center" w:y="1"/>
    </w:pPr>
    <w:r>
      <w:rPr>
        <w:rStyle w:val="877"/>
      </w:rPr>
      <w:fldChar w:fldCharType="begin"/>
    </w:r>
    <w:r>
      <w:rPr>
        <w:rStyle w:val="877"/>
      </w:rPr>
      <w:instrText xml:space="preserve">PAGE  </w:instrText>
    </w:r>
    <w:r>
      <w:rPr>
        <w:rStyle w:val="877"/>
      </w:rPr>
      <w:fldChar w:fldCharType="separate"/>
    </w:r>
    <w:r>
      <w:rPr>
        <w:rStyle w:val="877"/>
      </w:rPr>
      <w:t xml:space="preserve">2</w:t>
    </w:r>
    <w:r>
      <w:rPr>
        <w:rStyle w:val="877"/>
      </w:rPr>
      <w:fldChar w:fldCharType="end"/>
    </w:r>
    <w:r>
      <w:rPr>
        <w:rStyle w:val="877"/>
      </w:rPr>
    </w:r>
    <w:r>
      <w:rPr>
        <w:rStyle w:val="877"/>
      </w:rPr>
    </w:r>
  </w:p>
  <w:p>
    <w:pPr>
      <w:pStyle w:val="87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rPr>
        <w:rStyle w:val="877"/>
      </w:rPr>
      <w:framePr w:wrap="around" w:vAnchor="text" w:hAnchor="margin" w:xAlign="center" w:y="1"/>
    </w:pPr>
    <w:r>
      <w:rPr>
        <w:rStyle w:val="877"/>
      </w:rPr>
      <w:fldChar w:fldCharType="begin"/>
    </w:r>
    <w:r>
      <w:rPr>
        <w:rStyle w:val="877"/>
      </w:rPr>
      <w:instrText xml:space="preserve">PAGE  </w:instrText>
    </w:r>
    <w:r>
      <w:rPr>
        <w:rStyle w:val="877"/>
      </w:rPr>
      <w:fldChar w:fldCharType="end"/>
    </w:r>
    <w:r>
      <w:rPr>
        <w:rStyle w:val="877"/>
      </w:rPr>
    </w:r>
    <w:r>
      <w:rPr>
        <w:rStyle w:val="877"/>
      </w:rPr>
    </w:r>
  </w:p>
  <w:p>
    <w:pPr>
      <w:pStyle w:val="87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0"/>
    <w:next w:val="87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0"/>
    <w:next w:val="870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0"/>
    <w:next w:val="870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0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next w:val="870"/>
    <w:link w:val="870"/>
    <w:qFormat/>
    <w:rPr>
      <w:sz w:val="24"/>
      <w:szCs w:val="24"/>
      <w:lang w:val="ru-RU" w:eastAsia="ru-RU" w:bidi="ar-SA"/>
    </w:rPr>
  </w:style>
  <w:style w:type="paragraph" w:styleId="871">
    <w:name w:val="Заголовок 1"/>
    <w:basedOn w:val="870"/>
    <w:next w:val="870"/>
    <w:link w:val="884"/>
    <w:qFormat/>
    <w:pPr>
      <w:jc w:val="center"/>
      <w:spacing w:before="108" w:after="108"/>
      <w:widowControl w:val="off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styleId="872">
    <w:name w:val="Основной шрифт абзаца"/>
    <w:next w:val="872"/>
    <w:link w:val="870"/>
    <w:semiHidden/>
  </w:style>
  <w:style w:type="table" w:styleId="873">
    <w:name w:val="Обычная таблица"/>
    <w:next w:val="873"/>
    <w:link w:val="870"/>
    <w:semiHidden/>
    <w:tblPr/>
  </w:style>
  <w:style w:type="numbering" w:styleId="874">
    <w:name w:val="Нет списка"/>
    <w:next w:val="874"/>
    <w:link w:val="870"/>
    <w:semiHidden/>
  </w:style>
  <w:style w:type="paragraph" w:styleId="875">
    <w:name w:val="Основной текст"/>
    <w:basedOn w:val="870"/>
    <w:next w:val="875"/>
    <w:link w:val="870"/>
    <w:pPr>
      <w:jc w:val="both"/>
    </w:pPr>
  </w:style>
  <w:style w:type="paragraph" w:styleId="876">
    <w:name w:val="Верхний колонтитул"/>
    <w:basedOn w:val="870"/>
    <w:next w:val="876"/>
    <w:link w:val="870"/>
    <w:pPr>
      <w:tabs>
        <w:tab w:val="center" w:pos="4677" w:leader="none"/>
        <w:tab w:val="right" w:pos="9355" w:leader="none"/>
      </w:tabs>
    </w:pPr>
  </w:style>
  <w:style w:type="character" w:styleId="877">
    <w:name w:val="Номер страницы"/>
    <w:basedOn w:val="872"/>
    <w:next w:val="877"/>
    <w:link w:val="870"/>
  </w:style>
  <w:style w:type="character" w:styleId="878">
    <w:name w:val="Строгий"/>
    <w:next w:val="878"/>
    <w:link w:val="870"/>
    <w:qFormat/>
    <w:rPr>
      <w:b/>
      <w:bCs/>
    </w:rPr>
  </w:style>
  <w:style w:type="paragraph" w:styleId="879">
    <w:name w:val="Текст выноски"/>
    <w:basedOn w:val="870"/>
    <w:next w:val="879"/>
    <w:link w:val="870"/>
    <w:semiHidden/>
    <w:rPr>
      <w:rFonts w:ascii="Tahoma" w:hAnsi="Tahoma" w:cs="Tahoma"/>
      <w:sz w:val="16"/>
      <w:szCs w:val="16"/>
    </w:rPr>
  </w:style>
  <w:style w:type="paragraph" w:styleId="880">
    <w:name w:val="consplustitle"/>
    <w:basedOn w:val="870"/>
    <w:next w:val="880"/>
    <w:link w:val="870"/>
    <w:pPr>
      <w:spacing w:before="100" w:beforeAutospacing="1" w:after="100" w:afterAutospacing="1"/>
    </w:pPr>
  </w:style>
  <w:style w:type="paragraph" w:styleId="881">
    <w:name w:val="ConsPlusTitle"/>
    <w:next w:val="881"/>
    <w:link w:val="870"/>
    <w:pPr>
      <w:widowControl w:val="off"/>
    </w:pPr>
    <w:rPr>
      <w:b/>
      <w:bCs/>
      <w:sz w:val="26"/>
      <w:szCs w:val="26"/>
      <w:lang w:val="ru-RU" w:eastAsia="ru-RU" w:bidi="ar-SA"/>
    </w:rPr>
  </w:style>
  <w:style w:type="character" w:styleId="882">
    <w:name w:val="Font Style11"/>
    <w:next w:val="882"/>
    <w:link w:val="870"/>
    <w:rPr>
      <w:rFonts w:ascii="Times New Roman" w:hAnsi="Times New Roman" w:cs="Times New Roman"/>
      <w:sz w:val="22"/>
      <w:szCs w:val="22"/>
    </w:rPr>
  </w:style>
  <w:style w:type="character" w:styleId="883">
    <w:name w:val="Выделение"/>
    <w:next w:val="883"/>
    <w:link w:val="870"/>
    <w:uiPriority w:val="20"/>
    <w:qFormat/>
    <w:rPr>
      <w:i/>
      <w:iCs/>
    </w:rPr>
  </w:style>
  <w:style w:type="character" w:styleId="884">
    <w:name w:val="Заголовок 1 Знак"/>
    <w:next w:val="884"/>
    <w:link w:val="871"/>
    <w:rPr>
      <w:rFonts w:ascii="Arial" w:hAnsi="Arial" w:cs="Arial"/>
      <w:b/>
      <w:bCs/>
      <w:color w:val="000080"/>
    </w:rPr>
  </w:style>
  <w:style w:type="paragraph" w:styleId="885">
    <w:name w:val="Без интервала"/>
    <w:next w:val="885"/>
    <w:link w:val="870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86" w:default="1">
    <w:name w:val="Default Paragraph Font"/>
    <w:uiPriority w:val="1"/>
    <w:semiHidden/>
    <w:unhideWhenUsed/>
  </w:style>
  <w:style w:type="numbering" w:styleId="887" w:default="1">
    <w:name w:val="No List"/>
    <w:uiPriority w:val="99"/>
    <w:semiHidden/>
    <w:unhideWhenUsed/>
  </w:style>
  <w:style w:type="table" w:styleId="88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SPecialiST RePack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soc45</dc:creator>
  <cp:lastModifiedBy>mintrans25</cp:lastModifiedBy>
  <cp:revision>9</cp:revision>
  <dcterms:created xsi:type="dcterms:W3CDTF">2023-09-21T10:06:00Z</dcterms:created>
  <dcterms:modified xsi:type="dcterms:W3CDTF">2025-02-03T12:02:45Z</dcterms:modified>
  <cp:version>917504</cp:version>
</cp:coreProperties>
</file>