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1" w:type="dxa"/>
        <w:tblInd w:w="-601" w:type="dxa"/>
        <w:tblLook w:val="0000" w:firstRow="0" w:lastRow="0" w:firstColumn="0" w:lastColumn="0" w:noHBand="0" w:noVBand="0"/>
      </w:tblPr>
      <w:tblGrid>
        <w:gridCol w:w="840"/>
        <w:gridCol w:w="2489"/>
        <w:gridCol w:w="1383"/>
        <w:gridCol w:w="42"/>
        <w:gridCol w:w="1376"/>
        <w:gridCol w:w="435"/>
        <w:gridCol w:w="4526"/>
      </w:tblGrid>
      <w:tr w:rsidR="003C2924" w:rsidRPr="003C2924" w:rsidTr="00181A55">
        <w:trPr>
          <w:gridBefore w:val="1"/>
          <w:gridAfter w:val="1"/>
          <w:wBefore w:w="840" w:type="dxa"/>
          <w:wAfter w:w="4526" w:type="dxa"/>
        </w:trPr>
        <w:tc>
          <w:tcPr>
            <w:tcW w:w="2489" w:type="dxa"/>
          </w:tcPr>
          <w:p w:rsidR="003C2924" w:rsidRPr="003C2924" w:rsidRDefault="003C2924" w:rsidP="00181A55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gridSpan w:val="2"/>
          </w:tcPr>
          <w:p w:rsidR="003C2924" w:rsidRPr="003C2924" w:rsidRDefault="003C2924" w:rsidP="00181A55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:rsidR="003C2924" w:rsidRPr="003C2924" w:rsidRDefault="003C2924" w:rsidP="00181A55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924" w:rsidRPr="002D1DA2" w:rsidTr="00181A55">
        <w:tblPrEx>
          <w:tblLook w:val="01E0" w:firstRow="1" w:lastRow="1" w:firstColumn="1" w:lastColumn="1" w:noHBand="0" w:noVBand="0"/>
        </w:tblPrEx>
        <w:tc>
          <w:tcPr>
            <w:tcW w:w="4712" w:type="dxa"/>
            <w:gridSpan w:val="3"/>
          </w:tcPr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2D1DA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2D1DA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3C2924" w:rsidRPr="002D1DA2" w:rsidRDefault="003C2924" w:rsidP="00181A5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3C2924" w:rsidRPr="002D1DA2" w:rsidRDefault="003C2924" w:rsidP="00181A5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1DA2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1DA2">
              <w:rPr>
                <w:rFonts w:ascii="Arial" w:hAnsi="Arial" w:cs="Arial"/>
                <w:sz w:val="26"/>
                <w:szCs w:val="26"/>
              </w:rPr>
              <w:t xml:space="preserve">2023 </w:t>
            </w:r>
            <w:proofErr w:type="spellStart"/>
            <w:r w:rsidRPr="002D1DA2">
              <w:rPr>
                <w:rFonts w:ascii="Arial" w:hAnsi="Arial" w:cs="Arial"/>
                <w:sz w:val="26"/>
                <w:szCs w:val="26"/>
              </w:rPr>
              <w:t>февралĕн</w:t>
            </w:r>
            <w:proofErr w:type="spellEnd"/>
            <w:r w:rsidRPr="002D1DA2">
              <w:rPr>
                <w:rFonts w:ascii="Arial" w:hAnsi="Arial" w:cs="Arial"/>
                <w:sz w:val="26"/>
                <w:szCs w:val="26"/>
              </w:rPr>
              <w:t xml:space="preserve">        - </w:t>
            </w:r>
            <w:proofErr w:type="spellStart"/>
            <w:proofErr w:type="gramStart"/>
            <w:r w:rsidRPr="002D1DA2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Pr="002D1DA2">
              <w:rPr>
                <w:rFonts w:ascii="Arial" w:hAnsi="Arial" w:cs="Arial"/>
                <w:sz w:val="26"/>
                <w:szCs w:val="26"/>
              </w:rPr>
              <w:t>ĕшĕ</w:t>
            </w:r>
            <w:proofErr w:type="spellEnd"/>
            <w:r w:rsidRPr="002D1DA2">
              <w:rPr>
                <w:rFonts w:ascii="Arial" w:hAnsi="Arial" w:cs="Arial"/>
                <w:sz w:val="26"/>
                <w:szCs w:val="26"/>
              </w:rPr>
              <w:t xml:space="preserve"> №</w:t>
            </w:r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DA2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2D1DA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2D1D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DA2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  <w:gridSpan w:val="2"/>
          </w:tcPr>
          <w:p w:rsidR="003C2924" w:rsidRPr="002D1DA2" w:rsidRDefault="003C2924" w:rsidP="00181A55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1DA2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4B3231" wp14:editId="2DD147EF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2D1DA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C2924" w:rsidRPr="002D1DA2" w:rsidRDefault="003C2924" w:rsidP="00181A55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3C2924" w:rsidRPr="002D1DA2" w:rsidRDefault="003C2924" w:rsidP="00181A55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2D1DA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3C2924" w:rsidRPr="002D1DA2" w:rsidRDefault="003C2924" w:rsidP="00181A55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2D1DA2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1DA2">
              <w:rPr>
                <w:rFonts w:ascii="Arial" w:hAnsi="Arial" w:cs="Arial"/>
                <w:sz w:val="26"/>
                <w:szCs w:val="26"/>
              </w:rPr>
              <w:t xml:space="preserve">«      » февраля 2023 г. № </w:t>
            </w: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C2924" w:rsidRPr="002D1DA2" w:rsidRDefault="003C2924" w:rsidP="00181A55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A2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3C2924" w:rsidRPr="002D1DA2" w:rsidRDefault="003C2924" w:rsidP="003C2924">
      <w:pPr>
        <w:pStyle w:val="ConsPlusNormal"/>
        <w:widowControl/>
        <w:ind w:left="4680"/>
        <w:rPr>
          <w:rFonts w:ascii="Times New Roman" w:hAnsi="Times New Roman" w:cs="Times New Roman"/>
          <w:sz w:val="26"/>
          <w:szCs w:val="26"/>
        </w:rPr>
      </w:pPr>
    </w:p>
    <w:p w:rsidR="00B423F3" w:rsidRPr="002D1DA2" w:rsidRDefault="00B423F3" w:rsidP="00B423F3">
      <w:pPr>
        <w:pStyle w:val="ConsPlusNormal"/>
        <w:widowControl/>
        <w:ind w:left="-142" w:right="4535"/>
        <w:jc w:val="both"/>
        <w:rPr>
          <w:rFonts w:ascii="Times New Roman" w:hAnsi="Times New Roman" w:cs="Times New Roman"/>
          <w:sz w:val="28"/>
          <w:szCs w:val="28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«Укрепление общественного здоровья» </w:t>
      </w:r>
    </w:p>
    <w:p w:rsidR="00B423F3" w:rsidRPr="002D1DA2" w:rsidRDefault="00B423F3" w:rsidP="00B423F3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администрация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proofErr w:type="gramStart"/>
      <w:r w:rsidRPr="002D1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DA2">
        <w:rPr>
          <w:rFonts w:ascii="Times New Roman" w:hAnsi="Times New Roman" w:cs="Times New Roman"/>
          <w:sz w:val="28"/>
          <w:szCs w:val="28"/>
        </w:rPr>
        <w:t xml:space="preserve"> о с т а н о в л я е т : </w:t>
      </w: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«Укрепление общественного здоровья» (далее Муниципальная программа). </w:t>
      </w: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2. Утвердить ответственным исполнителем Муниципальной программы отдел образования и молодежной политики администрации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 </w:t>
      </w: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3. Структурным подразделениям администрации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принять участие в реализации мероприятий Муниципальной программы. </w:t>
      </w: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Pr="002D1DA2">
        <w:rPr>
          <w:rFonts w:ascii="Roboto" w:hAnsi="Roboto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2D1DA2">
        <w:rPr>
          <w:rFonts w:ascii="Roboto" w:hAnsi="Roboto"/>
          <w:sz w:val="28"/>
          <w:szCs w:val="28"/>
          <w:shd w:val="clear" w:color="auto" w:fill="FFFFFF"/>
        </w:rPr>
        <w:t>Яльчикского</w:t>
      </w:r>
      <w:proofErr w:type="spellEnd"/>
      <w:r w:rsidRPr="002D1DA2">
        <w:rPr>
          <w:rFonts w:ascii="Roboto" w:hAnsi="Roboto"/>
          <w:sz w:val="28"/>
          <w:szCs w:val="28"/>
          <w:shd w:val="clear" w:color="auto" w:fill="FFFFFF"/>
        </w:rPr>
        <w:t xml:space="preserve"> района Чувашской Республики от 19.04.2021 № 191 «О муниципальной программе </w:t>
      </w:r>
      <w:proofErr w:type="spellStart"/>
      <w:r w:rsidRPr="002D1DA2">
        <w:rPr>
          <w:rFonts w:ascii="Roboto" w:hAnsi="Roboto"/>
          <w:sz w:val="28"/>
          <w:szCs w:val="28"/>
          <w:shd w:val="clear" w:color="auto" w:fill="FFFFFF"/>
        </w:rPr>
        <w:t>Яльчикского</w:t>
      </w:r>
      <w:proofErr w:type="spellEnd"/>
      <w:r w:rsidRPr="002D1DA2">
        <w:rPr>
          <w:rFonts w:ascii="Roboto" w:hAnsi="Roboto"/>
          <w:sz w:val="28"/>
          <w:szCs w:val="28"/>
          <w:shd w:val="clear" w:color="auto" w:fill="FFFFFF"/>
        </w:rPr>
        <w:t xml:space="preserve"> района Чувашской Республики «Укрепление общественного здоровья».</w:t>
      </w:r>
    </w:p>
    <w:p w:rsidR="002D1DA2" w:rsidRPr="002D1DA2" w:rsidRDefault="00B423F3" w:rsidP="002D1DA2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D1DA2">
        <w:rPr>
          <w:rFonts w:ascii="Times New Roman" w:hAnsi="Times New Roman" w:cs="Times New Roman"/>
          <w:sz w:val="28"/>
          <w:szCs w:val="28"/>
          <w:lang w:eastAsia="zh-CN"/>
        </w:rPr>
        <w:t>5.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2D1DA2" w:rsidRPr="002D1DA2" w:rsidRDefault="002D1DA2" w:rsidP="002D1D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D1DA2" w:rsidRPr="002D1DA2" w:rsidRDefault="002D1DA2" w:rsidP="002D1D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423F3" w:rsidRPr="002D1DA2" w:rsidRDefault="00B423F3" w:rsidP="002D1DA2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D1D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D1DA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</w:p>
    <w:p w:rsidR="00B423F3" w:rsidRPr="002D1DA2" w:rsidRDefault="00B423F3" w:rsidP="002D1DA2">
      <w:pPr>
        <w:spacing w:line="0" w:lineRule="atLeast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D1DA2">
        <w:rPr>
          <w:rFonts w:ascii="Times New Roman" w:hAnsi="Times New Roman"/>
          <w:sz w:val="28"/>
          <w:szCs w:val="28"/>
        </w:rPr>
        <w:t>муниципального округа</w:t>
      </w:r>
    </w:p>
    <w:p w:rsidR="00B423F3" w:rsidRPr="002D1DA2" w:rsidRDefault="00B423F3" w:rsidP="002D1DA2">
      <w:pPr>
        <w:spacing w:line="0" w:lineRule="atLeast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D1DA2">
        <w:rPr>
          <w:rFonts w:ascii="Times New Roman" w:hAnsi="Times New Roman"/>
          <w:sz w:val="28"/>
          <w:szCs w:val="28"/>
        </w:rPr>
        <w:t xml:space="preserve">Чувашской Республики                                                        </w:t>
      </w:r>
      <w:r w:rsidR="002D1DA2" w:rsidRPr="002D1DA2">
        <w:rPr>
          <w:rFonts w:ascii="Times New Roman" w:hAnsi="Times New Roman"/>
          <w:sz w:val="28"/>
          <w:szCs w:val="28"/>
        </w:rPr>
        <w:t xml:space="preserve">   </w:t>
      </w:r>
      <w:r w:rsidRPr="002D1DA2">
        <w:rPr>
          <w:rFonts w:ascii="Times New Roman" w:hAnsi="Times New Roman"/>
          <w:sz w:val="28"/>
          <w:szCs w:val="28"/>
        </w:rPr>
        <w:t xml:space="preserve">                Л.В. Левый</w:t>
      </w: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tabs>
          <w:tab w:val="num" w:pos="637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D1DA2">
        <w:rPr>
          <w:rFonts w:ascii="Times New Roman" w:hAnsi="Times New Roman"/>
          <w:sz w:val="28"/>
          <w:szCs w:val="28"/>
        </w:rPr>
        <w:t xml:space="preserve">Приложение </w:t>
      </w:r>
    </w:p>
    <w:p w:rsidR="00B423F3" w:rsidRPr="002D1DA2" w:rsidRDefault="00B423F3" w:rsidP="00B423F3">
      <w:pPr>
        <w:tabs>
          <w:tab w:val="num" w:pos="637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D1DA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423F3" w:rsidRPr="002D1DA2" w:rsidRDefault="00B423F3" w:rsidP="00B423F3">
      <w:pPr>
        <w:tabs>
          <w:tab w:val="num" w:pos="637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D1DA2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2D1DA2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B423F3" w:rsidRPr="002D1DA2" w:rsidRDefault="00B423F3" w:rsidP="00B423F3">
      <w:pPr>
        <w:tabs>
          <w:tab w:val="num" w:pos="637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D1DA2">
        <w:rPr>
          <w:rFonts w:ascii="Times New Roman" w:hAnsi="Times New Roman"/>
          <w:sz w:val="28"/>
          <w:szCs w:val="28"/>
        </w:rPr>
        <w:t>Чувашской Республики</w:t>
      </w:r>
    </w:p>
    <w:p w:rsidR="00B423F3" w:rsidRPr="002D1DA2" w:rsidRDefault="00B423F3" w:rsidP="00B423F3">
      <w:pPr>
        <w:pStyle w:val="ConsPlusNormal"/>
        <w:widowControl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2D1DA2">
        <w:rPr>
          <w:rFonts w:ascii="Times New Roman" w:hAnsi="Times New Roman" w:cs="Times New Roman"/>
          <w:color w:val="000000"/>
          <w:sz w:val="26"/>
          <w:szCs w:val="24"/>
        </w:rPr>
        <w:t>от ______________ № ____</w:t>
      </w:r>
    </w:p>
    <w:p w:rsidR="00B423F3" w:rsidRPr="002D1DA2" w:rsidRDefault="00B423F3" w:rsidP="00B423F3">
      <w:pPr>
        <w:tabs>
          <w:tab w:val="num" w:pos="637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423F3" w:rsidRPr="002D1DA2" w:rsidRDefault="00B423F3" w:rsidP="00B423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3F3" w:rsidRPr="002D1DA2" w:rsidRDefault="00B423F3" w:rsidP="00B423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3F3" w:rsidRPr="002D1DA2" w:rsidRDefault="00B423F3" w:rsidP="00B423F3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DA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423F3" w:rsidRPr="002D1DA2" w:rsidRDefault="00B423F3" w:rsidP="00B423F3">
      <w:pPr>
        <w:pStyle w:val="ConsPlusTitle"/>
        <w:widowControl/>
        <w:contextualSpacing/>
        <w:jc w:val="center"/>
        <w:rPr>
          <w:color w:val="000000"/>
          <w:sz w:val="28"/>
          <w:szCs w:val="28"/>
        </w:rPr>
      </w:pPr>
      <w:r w:rsidRPr="002D1DA2">
        <w:rPr>
          <w:color w:val="000000"/>
          <w:sz w:val="28"/>
          <w:szCs w:val="28"/>
        </w:rPr>
        <w:t xml:space="preserve">ЯЛЬЧИКСКОГО МУНИЦИПАЛЬНОГО ОКРУГА </w:t>
      </w:r>
    </w:p>
    <w:p w:rsidR="00B423F3" w:rsidRPr="002D1DA2" w:rsidRDefault="00B423F3" w:rsidP="00B423F3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r w:rsidRPr="002D1DA2">
        <w:rPr>
          <w:color w:val="000000"/>
          <w:sz w:val="28"/>
          <w:szCs w:val="28"/>
        </w:rPr>
        <w:t xml:space="preserve">ЧУВАШСКОЙ РЕСПУБЛИКИ </w:t>
      </w:r>
    </w:p>
    <w:p w:rsidR="00B423F3" w:rsidRPr="002D1DA2" w:rsidRDefault="00B423F3" w:rsidP="00B423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1DA2">
        <w:rPr>
          <w:rFonts w:ascii="Times New Roman" w:hAnsi="Times New Roman" w:cs="Times New Roman"/>
          <w:b/>
          <w:caps/>
          <w:sz w:val="28"/>
          <w:szCs w:val="26"/>
        </w:rPr>
        <w:t>«УКРЕПЛЕНИЕ ОБЩЕСТВЕННОГО ЗДОРОВЬЯ»</w:t>
      </w:r>
    </w:p>
    <w:p w:rsidR="00B423F3" w:rsidRPr="002D1DA2" w:rsidRDefault="00B423F3" w:rsidP="00B423F3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32" w:type="dxa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4"/>
      </w:tblGrid>
      <w:tr w:rsidR="00B423F3" w:rsidRPr="002D1DA2" w:rsidTr="00181A55">
        <w:tc>
          <w:tcPr>
            <w:tcW w:w="4598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4534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образования и молодежной политики администрации </w:t>
            </w:r>
            <w:proofErr w:type="spellStart"/>
            <w:r w:rsidRPr="002D1DA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Яльчикского</w:t>
            </w:r>
            <w:proofErr w:type="spellEnd"/>
            <w:r w:rsidRPr="002D1DA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округа Чувашской Республики</w:t>
            </w:r>
          </w:p>
        </w:tc>
      </w:tr>
      <w:tr w:rsidR="00B423F3" w:rsidRPr="002D1DA2" w:rsidTr="00181A55">
        <w:tc>
          <w:tcPr>
            <w:tcW w:w="4598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Дата составления проекта Муниципальной  программы:</w:t>
            </w:r>
          </w:p>
        </w:tc>
        <w:tc>
          <w:tcPr>
            <w:tcW w:w="4534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</w:tr>
      <w:tr w:rsidR="00B423F3" w:rsidRPr="002D1DA2" w:rsidTr="00181A55">
        <w:tc>
          <w:tcPr>
            <w:tcW w:w="4598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Непосредственный исполнитель Муниципальной  программы:</w:t>
            </w:r>
          </w:p>
        </w:tc>
        <w:tc>
          <w:tcPr>
            <w:tcW w:w="4534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D1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Исполняющий</w:t>
            </w:r>
            <w:proofErr w:type="gramEnd"/>
            <w:r w:rsidRPr="002D1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обязанности заместителя главы администрации МО - начальника отдела образования и молодёжной политики</w:t>
            </w:r>
          </w:p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 В.А.</w:t>
            </w: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 xml:space="preserve"> (т. 2-54-92, </w:t>
            </w:r>
            <w:r w:rsidRPr="002D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1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yaltch_rooimp03@cap.ru</w:t>
            </w: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23F3" w:rsidRPr="002D1DA2" w:rsidTr="00181A55">
        <w:tc>
          <w:tcPr>
            <w:tcW w:w="4598" w:type="dxa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D1DA2">
              <w:rPr>
                <w:rFonts w:ascii="Times New Roman" w:hAnsi="Times New Roman" w:cs="Times New Roman"/>
                <w:sz w:val="28"/>
                <w:szCs w:val="28"/>
              </w:rPr>
              <w:t>Яльчикского</w:t>
            </w:r>
            <w:proofErr w:type="spellEnd"/>
            <w:r w:rsidRPr="002D1D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Чувашской Республики </w:t>
            </w:r>
          </w:p>
        </w:tc>
        <w:tc>
          <w:tcPr>
            <w:tcW w:w="4534" w:type="dxa"/>
            <w:vAlign w:val="bottom"/>
          </w:tcPr>
          <w:p w:rsidR="00B423F3" w:rsidRPr="002D1DA2" w:rsidRDefault="00B423F3" w:rsidP="00B423F3">
            <w:pPr>
              <w:pStyle w:val="ConsPlusNormal"/>
              <w:tabs>
                <w:tab w:val="num" w:pos="162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Л.В. Левый</w:t>
            </w:r>
          </w:p>
        </w:tc>
      </w:tr>
    </w:tbl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423F3" w:rsidRPr="002D1DA2" w:rsidRDefault="00B423F3" w:rsidP="00B423F3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42DC3" w:rsidRPr="002D1DA2" w:rsidRDefault="002D1DA2" w:rsidP="00942DC3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>УТ</w:t>
      </w:r>
      <w:r w:rsidR="00942DC3" w:rsidRPr="002D1DA2">
        <w:rPr>
          <w:rFonts w:ascii="Times New Roman" w:hAnsi="Times New Roman" w:cs="Times New Roman"/>
          <w:sz w:val="26"/>
          <w:szCs w:val="26"/>
        </w:rPr>
        <w:t>ВЕРЖДЕНА</w:t>
      </w:r>
    </w:p>
    <w:p w:rsidR="00942DC3" w:rsidRPr="002D1DA2" w:rsidRDefault="00942DC3" w:rsidP="00942DC3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42DC3" w:rsidRPr="002D1DA2" w:rsidRDefault="00942DC3" w:rsidP="00942DC3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D1DA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2D1DA2">
        <w:rPr>
          <w:rFonts w:ascii="Times New Roman" w:hAnsi="Times New Roman" w:cs="Times New Roman"/>
          <w:sz w:val="26"/>
          <w:szCs w:val="26"/>
        </w:rPr>
        <w:t xml:space="preserve"> </w:t>
      </w:r>
      <w:r w:rsidR="003C2924" w:rsidRPr="002D1DA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D1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DC3" w:rsidRPr="002D1DA2" w:rsidRDefault="00942DC3" w:rsidP="00942DC3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42DC3" w:rsidRPr="002D1DA2" w:rsidRDefault="00942DC3" w:rsidP="003C2924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 xml:space="preserve">от </w:t>
      </w:r>
      <w:r w:rsidR="003C2924" w:rsidRPr="002D1DA2">
        <w:rPr>
          <w:rFonts w:ascii="Times New Roman" w:hAnsi="Times New Roman" w:cs="Times New Roman"/>
          <w:sz w:val="26"/>
          <w:szCs w:val="26"/>
        </w:rPr>
        <w:t>______________</w:t>
      </w:r>
      <w:r w:rsidRPr="002D1DA2">
        <w:rPr>
          <w:rFonts w:ascii="Times New Roman" w:hAnsi="Times New Roman" w:cs="Times New Roman"/>
          <w:sz w:val="26"/>
          <w:szCs w:val="26"/>
        </w:rPr>
        <w:t xml:space="preserve">   № </w:t>
      </w:r>
      <w:r w:rsidR="003C2924" w:rsidRPr="002D1DA2">
        <w:rPr>
          <w:rFonts w:ascii="Times New Roman" w:hAnsi="Times New Roman" w:cs="Times New Roman"/>
          <w:sz w:val="26"/>
          <w:szCs w:val="26"/>
        </w:rPr>
        <w:t>______</w:t>
      </w:r>
    </w:p>
    <w:p w:rsidR="003C2924" w:rsidRPr="002D1DA2" w:rsidRDefault="003C2924" w:rsidP="003C2924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</w:p>
    <w:p w:rsidR="003C2924" w:rsidRPr="002D1DA2" w:rsidRDefault="003C2924" w:rsidP="003C2924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</w:p>
    <w:p w:rsidR="003C2924" w:rsidRPr="002D1DA2" w:rsidRDefault="003C2924" w:rsidP="003C2924">
      <w:pPr>
        <w:pStyle w:val="ConsPlusNormal"/>
        <w:widowControl/>
        <w:ind w:left="4680"/>
        <w:jc w:val="right"/>
        <w:rPr>
          <w:rFonts w:ascii="Times New Roman" w:hAnsi="Times New Roman" w:cs="Times New Roman"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924" w:rsidRPr="002D1DA2" w:rsidRDefault="003C2924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924" w:rsidRPr="002D1DA2" w:rsidRDefault="003C2924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1DA2">
        <w:rPr>
          <w:rFonts w:ascii="Times New Roman" w:hAnsi="Times New Roman" w:cs="Times New Roman"/>
          <w:b/>
          <w:sz w:val="28"/>
          <w:szCs w:val="26"/>
        </w:rPr>
        <w:t xml:space="preserve">МУНИЦИПАЛЬНАЯ ПРОГРАММА </w:t>
      </w:r>
    </w:p>
    <w:p w:rsidR="003C2924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1DA2">
        <w:rPr>
          <w:rFonts w:ascii="Times New Roman" w:hAnsi="Times New Roman" w:cs="Times New Roman"/>
          <w:b/>
          <w:sz w:val="28"/>
          <w:szCs w:val="26"/>
        </w:rPr>
        <w:t xml:space="preserve">ЯЛЬЧИКСКОГО </w:t>
      </w:r>
      <w:r w:rsidR="003C2924" w:rsidRPr="002D1DA2">
        <w:rPr>
          <w:rFonts w:ascii="Times New Roman" w:hAnsi="Times New Roman" w:cs="Times New Roman"/>
          <w:b/>
          <w:sz w:val="28"/>
          <w:szCs w:val="26"/>
        </w:rPr>
        <w:t>МУНИЦИПАЛЬНОГО ОКРУГА</w:t>
      </w: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1DA2">
        <w:rPr>
          <w:rFonts w:ascii="Times New Roman" w:hAnsi="Times New Roman" w:cs="Times New Roman"/>
          <w:b/>
          <w:sz w:val="28"/>
          <w:szCs w:val="26"/>
        </w:rPr>
        <w:t xml:space="preserve"> ЧУВАШСКОЙ РЕСПУБЛИКИ </w:t>
      </w: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1DA2">
        <w:rPr>
          <w:rFonts w:ascii="Times New Roman" w:hAnsi="Times New Roman" w:cs="Times New Roman"/>
          <w:b/>
          <w:caps/>
          <w:sz w:val="28"/>
          <w:szCs w:val="26"/>
        </w:rPr>
        <w:t>«УКРЕПЛЕНИЕ ОБЩЕСТВЕННОГО ЗДОРОВЬЯ»</w:t>
      </w: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942DC3" w:rsidRPr="002D1DA2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942DC3" w:rsidRPr="002D1DA2" w:rsidRDefault="00942DC3" w:rsidP="00942D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942DC3" w:rsidRPr="002D1DA2" w:rsidRDefault="00942DC3" w:rsidP="00942DC3">
      <w:pPr>
        <w:pStyle w:val="ConsPlusNormal"/>
        <w:pageBreakBefore/>
        <w:widowControl/>
        <w:spacing w:line="24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A2">
        <w:rPr>
          <w:rFonts w:ascii="Times New Roman" w:hAnsi="Times New Roman" w:cs="Times New Roman"/>
          <w:b/>
          <w:sz w:val="26"/>
          <w:szCs w:val="26"/>
        </w:rPr>
        <w:lastRenderedPageBreak/>
        <w:t>П А С П О Р Т</w:t>
      </w:r>
    </w:p>
    <w:p w:rsidR="00942DC3" w:rsidRPr="002D1DA2" w:rsidRDefault="00942DC3" w:rsidP="00942DC3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A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proofErr w:type="spellStart"/>
      <w:r w:rsidRPr="002D1DA2">
        <w:rPr>
          <w:rFonts w:ascii="Times New Roman" w:hAnsi="Times New Roman" w:cs="Times New Roman"/>
          <w:b/>
          <w:sz w:val="26"/>
          <w:szCs w:val="26"/>
        </w:rPr>
        <w:t>Яльчикского</w:t>
      </w:r>
      <w:proofErr w:type="spellEnd"/>
      <w:r w:rsidRPr="002D1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20E" w:rsidRPr="002D1DA2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2D1DA2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="00F9620E" w:rsidRPr="002D1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b/>
          <w:sz w:val="26"/>
          <w:szCs w:val="26"/>
        </w:rPr>
        <w:t>«Укрепление общественного здоровья»</w:t>
      </w:r>
    </w:p>
    <w:p w:rsidR="00942DC3" w:rsidRPr="002D1DA2" w:rsidRDefault="00942DC3" w:rsidP="00942DC3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8"/>
        <w:gridCol w:w="335"/>
        <w:gridCol w:w="6612"/>
      </w:tblGrid>
      <w:tr w:rsidR="00E81B2A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</w:t>
            </w:r>
            <w:r w:rsidR="00E81B2A" w:rsidRPr="00115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1B2A" w:rsidRPr="00115A6F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="00E81B2A" w:rsidRPr="00115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620E" w:rsidRPr="00115A6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E81B2A" w:rsidRPr="00115A6F">
              <w:rPr>
                <w:rFonts w:ascii="Times New Roman" w:hAnsi="Times New Roman"/>
                <w:sz w:val="26"/>
                <w:szCs w:val="26"/>
              </w:rPr>
              <w:t xml:space="preserve"> Чувашской Р</w:t>
            </w:r>
            <w:r w:rsidRPr="00115A6F">
              <w:rPr>
                <w:rFonts w:ascii="Times New Roman" w:hAnsi="Times New Roman"/>
                <w:sz w:val="26"/>
                <w:szCs w:val="26"/>
              </w:rPr>
              <w:t>е</w:t>
            </w:r>
            <w:r w:rsidR="00E81B2A" w:rsidRPr="00115A6F">
              <w:rPr>
                <w:rFonts w:ascii="Times New Roman" w:hAnsi="Times New Roman"/>
                <w:sz w:val="26"/>
                <w:szCs w:val="26"/>
              </w:rPr>
              <w:t>с</w:t>
            </w:r>
            <w:r w:rsidRPr="00115A6F">
              <w:rPr>
                <w:rFonts w:ascii="Times New Roman" w:hAnsi="Times New Roman"/>
                <w:sz w:val="26"/>
                <w:szCs w:val="26"/>
              </w:rPr>
              <w:t>публики</w:t>
            </w:r>
          </w:p>
          <w:p w:rsidR="00942DC3" w:rsidRPr="00115A6F" w:rsidRDefault="00942DC3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B2A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942DC3" w:rsidRPr="00115A6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B423F3" w:rsidRPr="00115A6F" w:rsidRDefault="00B423F3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115A6F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115A6F">
              <w:rPr>
                <w:rFonts w:ascii="Times New Roman" w:hAnsi="Times New Roman"/>
                <w:sz w:val="26"/>
                <w:szCs w:val="26"/>
              </w:rPr>
              <w:t xml:space="preserve">  муниципального округа  Чувашской Республики;</w:t>
            </w:r>
          </w:p>
          <w:p w:rsidR="00F9620E" w:rsidRPr="00115A6F" w:rsidRDefault="00F9620E" w:rsidP="00B423F3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 xml:space="preserve">Отдел мобилизованной подготовки, специальных программ и ГОЧС </w:t>
            </w:r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Яльчикского</w:t>
            </w:r>
            <w:proofErr w:type="spellEnd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округа </w:t>
            </w: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>Чувашской Республики;</w:t>
            </w:r>
          </w:p>
          <w:p w:rsidR="00F9620E" w:rsidRPr="00115A6F" w:rsidRDefault="00F9620E" w:rsidP="00B423F3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 xml:space="preserve">Отдел экономики, имущественных, земельных отношений и инвестиционной деятельности </w:t>
            </w:r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Яльчикского</w:t>
            </w:r>
            <w:proofErr w:type="spellEnd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округа </w:t>
            </w: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>Чувашской Республики;</w:t>
            </w:r>
          </w:p>
          <w:p w:rsidR="00F9620E" w:rsidRPr="00115A6F" w:rsidRDefault="00F9620E" w:rsidP="00B423F3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 xml:space="preserve">Управление по благоустройству и развитию территорий </w:t>
            </w:r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Яльчикского</w:t>
            </w:r>
            <w:proofErr w:type="spellEnd"/>
            <w:r w:rsidRPr="00115A6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округа </w:t>
            </w:r>
            <w:r w:rsidRPr="00115A6F">
              <w:rPr>
                <w:rFonts w:ascii="Times New Roman" w:hAnsi="Times New Roman" w:cs="Times New Roman"/>
                <w:b w:val="0"/>
                <w:color w:val="auto"/>
              </w:rPr>
              <w:t>Чувашской Республики</w:t>
            </w:r>
          </w:p>
          <w:p w:rsidR="00E81B2A" w:rsidRPr="00115A6F" w:rsidRDefault="00E81B2A" w:rsidP="00B423F3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115A6F" w:rsidP="00B4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9" w:history="1">
              <w:r w:rsidR="00F9620E" w:rsidRPr="00115A6F">
                <w:rPr>
                  <w:rFonts w:ascii="Times New Roman" w:eastAsia="Times New Roman" w:hAnsi="Times New Roman"/>
                  <w:sz w:val="26"/>
                  <w:szCs w:val="26"/>
                  <w:shd w:val="clear" w:color="auto" w:fill="FFFFFF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="00F9620E" w:rsidRPr="00115A6F">
                <w:rPr>
                  <w:rFonts w:ascii="Times New Roman" w:eastAsia="Times New Roman" w:hAnsi="Times New Roman"/>
                  <w:sz w:val="26"/>
                  <w:szCs w:val="26"/>
                  <w:shd w:val="clear" w:color="auto" w:fill="FFFFFF"/>
                  <w:lang w:eastAsia="ru-RU"/>
                </w:rPr>
                <w:t>Яльчикская</w:t>
              </w:r>
              <w:proofErr w:type="spellEnd"/>
              <w:r w:rsidR="00F9620E" w:rsidRPr="00115A6F">
                <w:rPr>
                  <w:rFonts w:ascii="Times New Roman" w:eastAsia="Times New Roman" w:hAnsi="Times New Roman"/>
                  <w:sz w:val="26"/>
                  <w:szCs w:val="26"/>
                  <w:shd w:val="clear" w:color="auto" w:fill="FFFFFF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  <w:r w:rsidR="00F9620E" w:rsidRPr="00115A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культуры «Централизованная библиотечная система </w:t>
            </w:r>
            <w:proofErr w:type="spellStart"/>
            <w:r w:rsidRPr="00115A6F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115A6F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Республики»;</w:t>
            </w:r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>Цетрализованная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 xml:space="preserve"> клубная система 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Чувашской Республики»</w:t>
            </w:r>
            <w:bookmarkEnd w:id="1"/>
          </w:p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B2A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942DC3" w:rsidRPr="00115A6F" w:rsidRDefault="00942DC3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не содержит подпрограммы</w:t>
            </w:r>
            <w:r w:rsidRPr="00115A6F">
              <w:rPr>
                <w:rFonts w:ascii="Times New Roman" w:hAnsi="Times New Roman"/>
                <w:strike/>
                <w:sz w:val="26"/>
                <w:szCs w:val="26"/>
              </w:rPr>
              <w:t xml:space="preserve"> 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5A6F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доли граждан, ведущих здоровый образ жизни, благодаря совершенствованию нормативно правового регулирования вопросов и формированию среды, способствующей ведению гражданами здорового образа жизни;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улучшение здоровья и качества жизни населения, а также формирование культуры и ответственного отношения к своему здоровью;</w:t>
            </w:r>
          </w:p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мотивирование граждан к ведению здорового образа жизни посредством проведения информационно-коммуникационной кампании, вовлечение граждан, </w:t>
            </w: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некоммерческих организаций и работодателей в мероприятия по укреплению общественного здоровья</w:t>
            </w:r>
          </w:p>
        </w:tc>
      </w:tr>
      <w:tr w:rsidR="00F9620E" w:rsidRPr="00115A6F" w:rsidTr="00F9620E">
        <w:trPr>
          <w:trHeight w:val="68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у граждан отношения к здоровью как высшей ценности, мотивационных установок и потребности в здоровом образе жизни;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города;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снижение смертности у мужчин в возрасте 16 - 59 лет и у женщин в возрасте 16 - 54 лет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2025 году будут достигнуты следующие целевые индикаторы (показатели):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ожидаемая продолжительность жизни достигнет - 78,4 лет;</w:t>
            </w:r>
          </w:p>
          <w:p w:rsidR="00F9620E" w:rsidRPr="00115A6F" w:rsidRDefault="00471C00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естественная убыль</w:t>
            </w:r>
            <w:r w:rsidR="00F9620E"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населения составит – </w:t>
            </w: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  <w:r w:rsidR="00F9620E"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 xml:space="preserve">2023–2024 годы </w:t>
            </w: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>На реализацию муниципальной программы финансовых средств не предусмотрено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20E" w:rsidRPr="00115A6F" w:rsidTr="00D050D3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A6F"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 позволит: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увеличить продолжительности активной жизни населения в 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Яльчикском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муниципальном округе за счет формирования здорового образа жизни и профилактики неинфекционных заболеваний;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проводить мероприятия по защите, укреплению здоровья и активному образу жизни населения 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повысить информированность населения о факторах образа жизни, влияющих на их здоровье;</w:t>
            </w:r>
          </w:p>
          <w:p w:rsidR="00F9620E" w:rsidRPr="00115A6F" w:rsidRDefault="00F9620E" w:rsidP="00B423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снизить смертность мужчин в возрасте 16 - 59 лет на 100 тысяч человек в 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Яльчикском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муниципальном округе;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снизить смертность женщин в возрасте 16 - 54 лет на 100 тысяч человек в </w:t>
            </w:r>
            <w:proofErr w:type="spellStart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Яльчикском</w:t>
            </w:r>
            <w:proofErr w:type="spellEnd"/>
            <w:r w:rsidRPr="00115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муниципальном округе.</w:t>
            </w: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20E" w:rsidRPr="00115A6F" w:rsidRDefault="00F9620E" w:rsidP="00B4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2DC3" w:rsidRDefault="00942DC3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A6F" w:rsidRPr="002D1DA2" w:rsidRDefault="00115A6F" w:rsidP="00942DC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5C427C" w:rsidRPr="002D1DA2" w:rsidRDefault="005C427C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471C00" w:rsidRPr="002D1DA2" w:rsidRDefault="00471C00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2DC3" w:rsidRPr="002D1DA2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707EC" w:rsidRPr="002D1DA2" w:rsidRDefault="009707EC" w:rsidP="009707E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I. Общая характеристика сферы реализации муниципальной программы, формулировка основных проблем (задач) в указанной сфере, анализ ее возникновения, прогноз ее развития</w:t>
      </w:r>
    </w:p>
    <w:p w:rsidR="00E81B2A" w:rsidRPr="002D1DA2" w:rsidRDefault="00E81B2A" w:rsidP="009707E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6"/>
          <w:szCs w:val="26"/>
        </w:rPr>
      </w:pPr>
    </w:p>
    <w:p w:rsidR="00942DC3" w:rsidRPr="002D1DA2" w:rsidRDefault="009707EC" w:rsidP="009707EC">
      <w:pPr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2D1DA2">
        <w:rPr>
          <w:rFonts w:ascii="Times New Roman" w:hAnsi="Times New Roman"/>
          <w:sz w:val="26"/>
          <w:szCs w:val="26"/>
        </w:rPr>
        <w:t>Муниципальная п</w:t>
      </w:r>
      <w:r w:rsidR="00942DC3" w:rsidRPr="002D1DA2">
        <w:rPr>
          <w:rFonts w:ascii="Times New Roman" w:hAnsi="Times New Roman"/>
          <w:sz w:val="26"/>
          <w:szCs w:val="26"/>
        </w:rPr>
        <w:t>рограмма «Укреплени</w:t>
      </w:r>
      <w:r w:rsidR="00F9620E" w:rsidRPr="002D1DA2">
        <w:rPr>
          <w:rFonts w:ascii="Times New Roman" w:hAnsi="Times New Roman"/>
          <w:sz w:val="26"/>
          <w:szCs w:val="26"/>
        </w:rPr>
        <w:t>е общественного здоровья на 2023</w:t>
      </w:r>
      <w:r w:rsidR="00942DC3" w:rsidRPr="002D1DA2">
        <w:rPr>
          <w:rFonts w:ascii="Times New Roman" w:hAnsi="Times New Roman"/>
          <w:sz w:val="26"/>
          <w:szCs w:val="26"/>
        </w:rPr>
        <w:t xml:space="preserve"> - 2024 годы» (далее – Программа) разработана во исполнение </w:t>
      </w:r>
      <w:r w:rsidR="00942DC3" w:rsidRPr="002D1DA2">
        <w:rPr>
          <w:rFonts w:ascii="Times New Roman" w:hAnsi="Times New Roman"/>
          <w:bCs/>
          <w:sz w:val="26"/>
          <w:szCs w:val="26"/>
        </w:rPr>
        <w:t>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</w:t>
      </w:r>
      <w:r w:rsidRPr="002D1DA2">
        <w:rPr>
          <w:rFonts w:ascii="Times New Roman" w:hAnsi="Times New Roman"/>
          <w:bCs/>
          <w:sz w:val="26"/>
          <w:szCs w:val="26"/>
        </w:rPr>
        <w:t>ци</w:t>
      </w:r>
      <w:r w:rsidR="00F9620E" w:rsidRPr="002D1DA2">
        <w:rPr>
          <w:rFonts w:ascii="Times New Roman" w:hAnsi="Times New Roman"/>
          <w:bCs/>
          <w:sz w:val="26"/>
          <w:szCs w:val="26"/>
        </w:rPr>
        <w:t>онального проекта «Демография».</w:t>
      </w:r>
    </w:p>
    <w:p w:rsidR="00942DC3" w:rsidRPr="002D1DA2" w:rsidRDefault="00942DC3" w:rsidP="009707E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D1DA2">
        <w:rPr>
          <w:sz w:val="26"/>
          <w:szCs w:val="26"/>
        </w:rPr>
        <w:t>Разработка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формирование здорового образа жизни, обеспечения условий для ведения здорового образа жизни,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питание.</w:t>
      </w:r>
      <w:proofErr w:type="gramEnd"/>
      <w:r w:rsidRPr="002D1DA2">
        <w:rPr>
          <w:sz w:val="26"/>
          <w:szCs w:val="26"/>
        </w:rPr>
        <w:t xml:space="preserve"> Доказано, что их своевременная профилактика может увеличить среднюю продолжительность жизни населения, (более, чем на 50%) и значительно снизить смертность населения от управляемых причин смерти. </w:t>
      </w:r>
    </w:p>
    <w:p w:rsidR="00942DC3" w:rsidRPr="002D1DA2" w:rsidRDefault="00942DC3" w:rsidP="009707EC">
      <w:pPr>
        <w:pStyle w:val="ConsPlusNonformat"/>
        <w:widowControl/>
        <w:ind w:firstLine="66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 Комплексные профилактические меры позволят увеличить ожидаемую продолжительность жизни, снизить показатели смертности от основных хронических неинфекционных заболеваний.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Ключевую</w:t>
      </w:r>
      <w:r w:rsidRPr="002D1DA2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роль</w:t>
      </w:r>
      <w:r w:rsidRPr="002D1DA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z w:val="26"/>
          <w:szCs w:val="26"/>
        </w:rPr>
        <w:t>в</w:t>
      </w:r>
      <w:r w:rsidRPr="002D1DA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решении</w:t>
      </w:r>
      <w:r w:rsidRPr="002D1DA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поставленных</w:t>
      </w:r>
      <w:r w:rsidRPr="002D1DA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задач</w:t>
      </w:r>
      <w:r w:rsidRPr="002D1DA2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играет</w:t>
      </w:r>
      <w:r w:rsidRPr="002D1DA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развитие</w:t>
      </w:r>
      <w:r w:rsidRPr="002D1DA2">
        <w:rPr>
          <w:rFonts w:ascii="Times New Roman" w:hAnsi="Times New Roman" w:cs="Times New Roman"/>
          <w:spacing w:val="48"/>
          <w:sz w:val="26"/>
          <w:szCs w:val="26"/>
        </w:rPr>
        <w:t xml:space="preserve"> и </w:t>
      </w:r>
      <w:r w:rsidRPr="002D1DA2">
        <w:rPr>
          <w:rFonts w:ascii="Times New Roman" w:hAnsi="Times New Roman" w:cs="Times New Roman"/>
          <w:sz w:val="26"/>
          <w:szCs w:val="26"/>
        </w:rPr>
        <w:t>формирование институтов</w:t>
      </w:r>
      <w:r w:rsidRPr="002D1DA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общественного здоровья,</w:t>
      </w:r>
      <w:r w:rsidRPr="002D1DA2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формирования</w:t>
      </w:r>
      <w:r w:rsidRPr="002D1DA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здорового</w:t>
      </w:r>
      <w:r w:rsidRPr="002D1DA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z w:val="26"/>
          <w:szCs w:val="26"/>
        </w:rPr>
        <w:t>образа</w:t>
      </w:r>
      <w:r w:rsidRPr="002D1DA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жизни</w:t>
      </w:r>
      <w:r w:rsidRPr="002D1DA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z w:val="26"/>
          <w:szCs w:val="26"/>
        </w:rPr>
        <w:t>у</w:t>
      </w:r>
      <w:r w:rsidRPr="002D1DA2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населения Чувашской Республики</w:t>
      </w:r>
      <w:r w:rsidRPr="002D1DA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z w:val="26"/>
          <w:szCs w:val="26"/>
        </w:rPr>
        <w:t>с</w:t>
      </w:r>
      <w:r w:rsidRPr="002D1DA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>использованием</w:t>
      </w:r>
      <w:r w:rsidRPr="002D1DA2">
        <w:rPr>
          <w:rFonts w:ascii="Times New Roman" w:hAnsi="Times New Roman" w:cs="Times New Roman"/>
          <w:sz w:val="26"/>
          <w:szCs w:val="26"/>
        </w:rPr>
        <w:t xml:space="preserve"> </w:t>
      </w:r>
      <w:r w:rsidRPr="002D1DA2">
        <w:rPr>
          <w:rFonts w:ascii="Times New Roman" w:hAnsi="Times New Roman" w:cs="Times New Roman"/>
          <w:spacing w:val="-1"/>
          <w:sz w:val="26"/>
          <w:szCs w:val="26"/>
        </w:rPr>
        <w:t xml:space="preserve">межведомственного подхода. </w:t>
      </w:r>
    </w:p>
    <w:p w:rsidR="00942DC3" w:rsidRPr="002D1DA2" w:rsidRDefault="00942DC3" w:rsidP="00942DC3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sz w:val="26"/>
          <w:szCs w:val="26"/>
        </w:rPr>
      </w:pPr>
      <w:r w:rsidRPr="002D1DA2">
        <w:rPr>
          <w:rFonts w:ascii="Times New Roman" w:hAnsi="Times New Roman" w:cs="Times New Roman"/>
          <w:sz w:val="26"/>
          <w:szCs w:val="26"/>
        </w:rPr>
        <w:t xml:space="preserve">В настоящее время наиболее распространенными причинами смертности, заболеваемости и утраты трудоспособности в России являются неинфекционные заболевания, в структуре общей смертности населения они составляют более 70 процентов. Хронические неинфекционные заболевания – это ряд хронических заболеваний, включающих сердечно-сосудистые заболевания, онкологические заболевания, хронические </w:t>
      </w:r>
      <w:proofErr w:type="spellStart"/>
      <w:r w:rsidRPr="002D1DA2">
        <w:rPr>
          <w:rFonts w:ascii="Times New Roman" w:hAnsi="Times New Roman" w:cs="Times New Roman"/>
          <w:sz w:val="26"/>
          <w:szCs w:val="26"/>
        </w:rPr>
        <w:t>обструктивные</w:t>
      </w:r>
      <w:proofErr w:type="spellEnd"/>
      <w:r w:rsidRPr="002D1DA2">
        <w:rPr>
          <w:rFonts w:ascii="Times New Roman" w:hAnsi="Times New Roman" w:cs="Times New Roman"/>
          <w:sz w:val="26"/>
          <w:szCs w:val="26"/>
        </w:rPr>
        <w:t xml:space="preserve"> болезни легких, сахарный диабет </w:t>
      </w:r>
      <w:r w:rsidRPr="002D1DA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D1DA2">
        <w:rPr>
          <w:rFonts w:ascii="Times New Roman" w:hAnsi="Times New Roman" w:cs="Times New Roman"/>
          <w:sz w:val="26"/>
          <w:szCs w:val="26"/>
        </w:rPr>
        <w:t xml:space="preserve">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 Пик заболеваемости приходится на трудоспособный возраст.</w:t>
      </w:r>
    </w:p>
    <w:p w:rsidR="00A7778E" w:rsidRPr="002D1DA2" w:rsidRDefault="00A7778E" w:rsidP="00942DC3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sz w:val="26"/>
          <w:szCs w:val="26"/>
        </w:rPr>
      </w:pPr>
    </w:p>
    <w:p w:rsidR="00A7778E" w:rsidRPr="002D1DA2" w:rsidRDefault="00A7778E" w:rsidP="00D050D3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II. Приоритеты, цели и задачи, целевые показатели (индикаторы), ожидаемые конечные результаты муниципальной программы</w:t>
      </w:r>
    </w:p>
    <w:p w:rsidR="00D050D3" w:rsidRPr="002D1DA2" w:rsidRDefault="00D050D3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Приоритетные направления муниципальной политики в охраны здоровья граждан определены Фед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еральным законом от 21.11.2011 № 323-ФЗ «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Об основах охраны здоровья граждан в Российской Федерации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Основными стратегическими целями му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является: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увеличение доли граждан, ведущих здоровый образ жизни, благодаря совершенствованию нормативно правового регулирования вопросов и формированию среды, способствующей ведению гра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жданами здорового образа жизни;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улучшение здоровья и качества жизни населения, а также формирование культуры и ответственног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о отношения к своему здоровью;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мотивирование граждан к ведению здорового образа жизни посредством проведения информационно-коммуникационной кампании, вовлечение граждан, некоммерческих организаций и работодателей в мероприятия по укреплению общественного 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здоровья.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поставленных целей муниципальной программой предусматриваются ре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шение следующих основных задач: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формирование у граждан отношения к здоровью как высшей ценности, мотивационных установок и потре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бности в здоровом образе жизни;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условий для здорового образа жизни, увеличение ожидаемой продолжительности жизни, улучшение фи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зического и духовного здоровья;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ориентиров у населения города;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снижение смертности у мужчин в возрасте 16 - 59 лет и у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женщин в возрасте 16 - 54 лет.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мероприятий муниципальной программы ожидается достижение следующих важнейших целевых показателей (индикаторов)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ожидаемая продолжительность жизни достигнет - 78,4 лет;</w:t>
      </w:r>
    </w:p>
    <w:p w:rsidR="005C427C" w:rsidRPr="002D1DA2" w:rsidRDefault="00A7778E" w:rsidP="005C427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естественный прирост </w:t>
      </w:r>
      <w:r w:rsidR="005C427C" w:rsidRPr="002D1DA2">
        <w:rPr>
          <w:rFonts w:ascii="Times New Roman" w:eastAsia="Times New Roman" w:hAnsi="Times New Roman"/>
          <w:sz w:val="26"/>
          <w:szCs w:val="26"/>
          <w:lang w:eastAsia="ru-RU"/>
        </w:rPr>
        <w:t>(убыль) населения составит – 10 человек.</w:t>
      </w:r>
    </w:p>
    <w:p w:rsidR="00D050D3" w:rsidRPr="002D1DA2" w:rsidRDefault="00A7778E" w:rsidP="005C427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важнейших целевых </w:t>
      </w:r>
      <w:r w:rsidR="00471C00" w:rsidRPr="002D1DA2">
        <w:rPr>
          <w:rFonts w:ascii="Times New Roman" w:eastAsia="Times New Roman" w:hAnsi="Times New Roman"/>
          <w:sz w:val="26"/>
          <w:szCs w:val="26"/>
          <w:lang w:eastAsia="ru-RU"/>
        </w:rPr>
        <w:t>показателях (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индикаторах</w:t>
      </w:r>
      <w:r w:rsidR="00471C00" w:rsidRPr="002D1DA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ожидаемой эффективности реализации муниципальной программы, приведены в приложении № 1 к муниципаль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ной программе.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Ожидаемые результаты реализации му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позволят: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увеличить продолжительность активной жизни населения в </w:t>
      </w:r>
      <w:proofErr w:type="spellStart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Яльчикском</w:t>
      </w:r>
      <w:proofErr w:type="spellEnd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округе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формирования здорового образа жизни и профилакт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ики неинфекционных заболеваний;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 проводить мероприятия по защите, укреплению здоровья и активному образу жизни населения </w:t>
      </w:r>
      <w:proofErr w:type="spellStart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повысить информированность населения о факторах образа 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жизни, влияющих на их здоровье;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снизить смертность среди мужчин в возрасте 16 - 59 лет на 100 тысяч человек в </w:t>
      </w:r>
      <w:proofErr w:type="spellStart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Яльчикском</w:t>
      </w:r>
      <w:proofErr w:type="spellEnd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округе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6,6%;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снизить смертность среди женщин в возрасте 16 - 54 лет на 100 тысяч человек в </w:t>
      </w:r>
      <w:proofErr w:type="spellStart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Яльчикском</w:t>
      </w:r>
      <w:proofErr w:type="spellEnd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 округе 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на 6,6%.</w:t>
      </w:r>
    </w:p>
    <w:p w:rsidR="00A7778E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Общий экономический эффект предполагается получить от предотвращения социально значимых заболеваний, увеличения продолжительности активной жизни населения города.</w:t>
      </w:r>
    </w:p>
    <w:p w:rsidR="00471C00" w:rsidRPr="002D1DA2" w:rsidRDefault="00471C00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8E" w:rsidRPr="002D1DA2" w:rsidRDefault="00A7778E" w:rsidP="00D050D3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III. Обобщенная характеристика основных мероприятий муниципальной программы, сроков и этапов их реализации</w:t>
      </w:r>
    </w:p>
    <w:p w:rsidR="00D050D3" w:rsidRPr="002D1DA2" w:rsidRDefault="00D050D3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Основные мероприятия муниципальной программы направлены на реализацию целей и задач м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униципальной программы в целом.</w:t>
      </w:r>
    </w:p>
    <w:p w:rsidR="00D050D3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мероприятия муниципальной программы подразделяются на отдельные мероприятия, реализация которых обеспечит достижение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показателей (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индикаторов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</w:t>
      </w:r>
      <w:r w:rsidR="00D050D3" w:rsidRPr="002D1DA2">
        <w:rPr>
          <w:rFonts w:ascii="Times New Roman" w:eastAsia="Times New Roman" w:hAnsi="Times New Roman"/>
          <w:sz w:val="26"/>
          <w:szCs w:val="26"/>
          <w:lang w:eastAsia="ru-RU"/>
        </w:rPr>
        <w:t>вности муниципальной программы.</w:t>
      </w:r>
    </w:p>
    <w:p w:rsidR="00A7778E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Перечень основных мероприятий, включая сроки реализации, ответственных исполнителей, а также характеристики результатов, указаны в приложении № 2 к настоящей муниципальной программе.</w:t>
      </w: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8E" w:rsidRPr="002D1DA2" w:rsidRDefault="00A7778E" w:rsidP="00D050D3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IV. Обоснование объема финансовых ресурсов, необходимых для реализации муниципальной программы</w:t>
      </w:r>
    </w:p>
    <w:p w:rsidR="00D050D3" w:rsidRPr="002D1DA2" w:rsidRDefault="00D050D3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8E" w:rsidRPr="002D1DA2" w:rsidRDefault="00D050D3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7778E" w:rsidRPr="002D1DA2">
        <w:rPr>
          <w:rFonts w:ascii="Times New Roman" w:eastAsia="Times New Roman" w:hAnsi="Times New Roman"/>
          <w:sz w:val="26"/>
          <w:szCs w:val="26"/>
          <w:lang w:eastAsia="ru-RU"/>
        </w:rPr>
        <w:t>а реализацию мероприятий Программы финансовых средств не предусмотрено.</w:t>
      </w:r>
    </w:p>
    <w:p w:rsidR="00A7778E" w:rsidRPr="002D1DA2" w:rsidRDefault="00A7778E" w:rsidP="00D050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финансирования муниципальной программы уточняются при формировании бюджета </w:t>
      </w:r>
      <w:proofErr w:type="spellStart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Pr="002D1D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очередной финансовый год и плановый период.</w:t>
      </w:r>
    </w:p>
    <w:p w:rsidR="00A7778E" w:rsidRPr="002D1DA2" w:rsidRDefault="00A7778E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0D3" w:rsidRPr="002D1DA2" w:rsidRDefault="00A7778E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2D1DA2">
        <w:rPr>
          <w:rFonts w:ascii="Times New Roman" w:eastAsia="Times New Roman" w:hAnsi="Times New Roman"/>
          <w:sz w:val="21"/>
          <w:szCs w:val="21"/>
          <w:lang w:eastAsia="ru-RU"/>
        </w:rPr>
        <w:br/>
      </w: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1DA2" w:rsidRPr="002D1DA2" w:rsidRDefault="002D1DA2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50D3" w:rsidRPr="002D1DA2" w:rsidRDefault="00D050D3" w:rsidP="00E81B2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7778E" w:rsidRPr="002D1DA2" w:rsidRDefault="00A7778E" w:rsidP="00471C0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br/>
        <w:t>к муниципальной программе</w:t>
      </w:r>
    </w:p>
    <w:p w:rsidR="00471C00" w:rsidRPr="002D1DA2" w:rsidRDefault="00A7778E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C00" w:rsidRPr="002D1DA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A7778E" w:rsidRPr="002D1DA2" w:rsidRDefault="00A7778E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</w:p>
    <w:p w:rsidR="00A7778E" w:rsidRPr="002D1DA2" w:rsidRDefault="00A7778E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>«Укрепление общественного здоровья»</w:t>
      </w:r>
    </w:p>
    <w:p w:rsidR="00572894" w:rsidRPr="002D1DA2" w:rsidRDefault="00572894" w:rsidP="00471C0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1"/>
          <w:szCs w:val="21"/>
          <w:lang w:eastAsia="ru-RU"/>
        </w:rPr>
      </w:pPr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важнейших целевых показателя</w:t>
      </w:r>
      <w:r w:rsidR="00471C00"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(индикаторах) муниципальной программы </w:t>
      </w:r>
      <w:proofErr w:type="spellStart"/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1C00"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 «Укрепление общественного здоровья» и их значениях</w:t>
      </w:r>
    </w:p>
    <w:tbl>
      <w:tblPr>
        <w:tblW w:w="9088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08"/>
        <w:gridCol w:w="1550"/>
        <w:gridCol w:w="1793"/>
        <w:gridCol w:w="1814"/>
      </w:tblGrid>
      <w:tr w:rsidR="00471C00" w:rsidRPr="002D1DA2" w:rsidTr="00471C00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00" w:rsidRPr="002D1DA2" w:rsidRDefault="00471C00" w:rsidP="00471C00">
            <w:pPr>
              <w:spacing w:after="160" w:line="240" w:lineRule="auto"/>
              <w:ind w:lef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471C00" w:rsidRPr="002D1DA2" w:rsidTr="00471C00">
        <w:tc>
          <w:tcPr>
            <w:tcW w:w="7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2024</w:t>
            </w:r>
          </w:p>
        </w:tc>
      </w:tr>
      <w:tr w:rsidR="00471C00" w:rsidRPr="002D1DA2" w:rsidTr="00471C00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Ожидаемая продолжительность жизни (в количестве лет)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78,4</w:t>
            </w:r>
          </w:p>
        </w:tc>
      </w:tr>
      <w:tr w:rsidR="00471C00" w:rsidRPr="002D1DA2" w:rsidTr="00471C00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Естественный прирост (убыль) населения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-170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C00" w:rsidRPr="002D1DA2" w:rsidRDefault="00471C00" w:rsidP="00471C00">
            <w:pPr>
              <w:spacing w:after="0" w:line="240" w:lineRule="auto"/>
              <w:ind w:left="141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-150</w:t>
            </w:r>
          </w:p>
        </w:tc>
      </w:tr>
    </w:tbl>
    <w:p w:rsidR="00572894" w:rsidRPr="002D1DA2" w:rsidRDefault="00572894" w:rsidP="00A7778E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572894" w:rsidRPr="002D1DA2" w:rsidRDefault="00572894" w:rsidP="00A7778E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572894" w:rsidRPr="002D1DA2" w:rsidRDefault="00572894" w:rsidP="00A7778E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E53FE0" w:rsidRPr="002D1DA2" w:rsidRDefault="00E53FE0" w:rsidP="00D050D3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  <w:sectPr w:rsidR="00E53FE0" w:rsidRPr="002D1DA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894" w:rsidRPr="002D1DA2" w:rsidRDefault="00572894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br/>
        <w:t>к муниципальной программе</w:t>
      </w:r>
    </w:p>
    <w:p w:rsidR="00745BF0" w:rsidRPr="002D1DA2" w:rsidRDefault="00572894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BF0" w:rsidRPr="002D1DA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572894" w:rsidRPr="002D1DA2" w:rsidRDefault="00572894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</w:p>
    <w:p w:rsidR="00572894" w:rsidRPr="002D1DA2" w:rsidRDefault="00572894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A2">
        <w:rPr>
          <w:rFonts w:ascii="Times New Roman" w:eastAsia="Times New Roman" w:hAnsi="Times New Roman"/>
          <w:sz w:val="24"/>
          <w:szCs w:val="24"/>
          <w:lang w:eastAsia="ru-RU"/>
        </w:rPr>
        <w:t>«Укрепление общественного здоровья»</w:t>
      </w:r>
    </w:p>
    <w:p w:rsidR="00572894" w:rsidRPr="002D1DA2" w:rsidRDefault="00572894" w:rsidP="00471C0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81B2A" w:rsidRPr="002D1DA2" w:rsidRDefault="00572894" w:rsidP="00471C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основных мероприятий и мероприятий муниципальной программы </w:t>
      </w:r>
      <w:proofErr w:type="spellStart"/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Яльчикского</w:t>
      </w:r>
      <w:proofErr w:type="spellEnd"/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924"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 «Укрепление общественного здоровья» и их </w:t>
      </w:r>
      <w:proofErr w:type="gramStart"/>
      <w:r w:rsidRPr="002D1DA2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значениях</w:t>
      </w:r>
      <w:proofErr w:type="gramEnd"/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18"/>
        <w:gridCol w:w="1785"/>
        <w:gridCol w:w="4085"/>
        <w:gridCol w:w="3952"/>
      </w:tblGrid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572894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и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(начало - окончание)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 Координация реализации муниципальной программы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Совершенствование нормативно-правового регулирования процесса формирования профилактической среды, здорового образа жизни населения и ответственного отношения граждан к своему здоровью, здоровью детей на основе комплексного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положения об отрядах здоровья и их создание в общеобразовательных организациях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572894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71C0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778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894" w:rsidRPr="002D1DA2" w:rsidRDefault="00572894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E81B2A" w:rsidRPr="002D1DA2" w:rsidRDefault="00E81B2A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78E" w:rsidRPr="002D1DA2" w:rsidRDefault="00572894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отрядов здоровья в каждой общеобразовательной организации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модельных корпоративных программ, содержащих наилучшие практики укрепления здоровья и формирования здорового образа жизни работников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471C0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A7778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572894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E81B2A" w:rsidRPr="002D1DA2" w:rsidRDefault="00E81B2A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C00" w:rsidRPr="002D1DA2" w:rsidRDefault="00471C0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572894" w:rsidRPr="002D1DA2" w:rsidRDefault="00572894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и реализация модельных корпоративных программ в учреждениях</w:t>
            </w:r>
            <w:r w:rsidR="0057289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Интегрирование мер профилактики и детерминант общественного здоровья в планы развития основных отраслей экономики и социальной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сферы на муниципальном уровне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плана мероприятий по реализации Основ государственной молодежной политики Российской Федерации на период до 2025 года, утвержденных распоряжением Правительства Российской Федерации от 29.11.2014 </w:t>
            </w:r>
            <w:r w:rsidR="0057289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2403-р, утвержденного </w:t>
            </w:r>
            <w:hyperlink r:id="rId11" w:history="1">
              <w:r w:rsidRPr="002D1DA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распоряжением Правительства Росс</w:t>
              </w:r>
              <w:r w:rsidR="00745BF0" w:rsidRPr="002D1DA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ийской Федерации от 12.12.2015 №</w:t>
              </w:r>
              <w:r w:rsidRPr="002D1DA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2570-р</w:t>
              </w:r>
            </w:hyperlink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части вовлечения молодежи в регулярные занятия физической культурой и спортом, пропаганды здорового образа жизни; реализации проектов в области физкультурно-спортивной и оздоровительной деятельности, связанных с популяризацией здорового образа жизни, спорта, а также создания положительного образа молодежи, ведущей здоровый образ жизни; содействия развитию инфраструктуры для отдыха и оздоровления молодежи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471C0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A7778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молодежи, приверженной здоровому образу жизни; увеличение доли населения, систематически занимающегося физической культурой и спортом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муниципальных мероприятий, направленных на пропаганду и формирование у населения здорового образа жизни, увеличение периода активного долголетия, а также на снижение инвалидности и смертности населения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A7778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78E" w:rsidRPr="002D1DA2" w:rsidRDefault="00A7778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проведении массовых муниципальных мероприятий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мероприятий по формированию здорового образа жизни в средствах массовой информации,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официальном сайте 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официальных сайтах подведомственных учреждений в информационно-телекоммуникационной сети «Интернет», иных Интернет-ресурсах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 о выполнении мероприятий по формированию здорового образа жизни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занятости детей, находящихся в трудной жизненной ситуации и в социально опасном положении, путем вовлечения их в занятия в кружках, клубах по интересам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детей, находящихся в трудной жизненной ситуации и в социально опасном положении, вовлеченных в занятия в кружках, клубах по интересам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Мероприятия по реализации Программы на популяционном уровне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социальных и экономических детерминант, способствующих ведению здорового образа жизни, для всех слоев и групп населения, снижение уровня распространенности факторов, негативно влияющих на здоровье человека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мест массового отдыха на водных объектах в соответствии с законодательством Российской Федерации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Отдел мобилизованной подготовки, специальных программ и ГОЧС </w:t>
            </w: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граждан в местах массового отдыха на водных объектах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Совершенствование </w:t>
            </w: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мер повышения уровня грамотности населения</w:t>
            </w:r>
            <w:proofErr w:type="gram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постоянной информационно-коммуникационной кампании средствами массовой информации, в том числе радио 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телевидением, в информационно-телекоммуникационной сети «Интернет» с целью повышения уровня грамотности населения в вопросах здоровья, пропаганды здорового питания и образа жизни, просвещения населения о факторах риска развития неинфекционных заболеваний и необходимости ответственного отношения к здоровью, проведения личной профилактики неинфекционных заболеваний и контроля их течения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E81B2A" w:rsidRPr="002D1DA2" w:rsidRDefault="00E81B2A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</w:t>
            </w:r>
            <w:r w:rsidRPr="002D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уровня знаний населения, касающихся основных принципов здорового питания и образа жизни, методов личной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профилактики и контроля неинфекционных заболеваний, являющихся основной причиной инвалидности и смертности, правил здоровье сберегающего поведения, оказания первой помощи и сохранения репродуктивного здоровья, важности вакцинации и своевременности вызова скорой медицинской помощи при неотложных состояниях; повышение доли граждан, приверженных здоровому питанию и образу жизни, проводящих личную профилактику и контроль неинфекционных заболеваний, выполняющих правила здоровье сберегающего поведения, оказания первой помощи и сохранения репродуктивного здоровья, проходящих вакцинацию и своевременно вызывающих скорую медицинскую помощь при неотложных состояниях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учреждениях культуры (библиотеках, культурно-досуговых учреждениях, музеях) просветительских мероприятий (часы здоровья, книжные выставки, обзоры литературы, познавательные часы, диспуты, беседы)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граждан, приверженных здоровому образу жизни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межведомственного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 по выявлению семейного неблагополучия, обеспечению работы с семьями, находящимися в социально опасном положении (трудной жизненной ситуации)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Чувашии;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фактах выявления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семей, находящихся в социально опасном положении (трудной жизненной ситуации)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знаний руководителей дошкольных образовательных 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здоровья воспитанников и обучающихся, мотивирование их к ведению здорового образа жизни и обеспечение для этого необходимых условий; формирование здорового образа жизни и профилактика неинфекционных заболеваний у воспитанников и обучающихся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санитарно-просветительской работы и массовых агитационных мероприятий, направленных на пропаганду здорового образа жизни среди населения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среди молодежи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здорового образа жизни среди населения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среди молодежи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видеороликов о важности прохождения профилактических медицинских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осмотров и диспансеризации, о факторах риска сердечно-сосудистых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 в средствах массовой информации, в социальных сетях в информационно-телекоммуникационной сети «Интернет», на мониторах в медицинских организациях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  <w:r w:rsidR="00E81B2A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Минздрава Чувашии</w:t>
            </w:r>
          </w:p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информированности населения о факторах риска </w:t>
            </w: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III. Снижение </w:t>
            </w:r>
            <w:proofErr w:type="gramStart"/>
            <w:r w:rsidRPr="002D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уровня распространенности модифицируемых факторов риска неинфекционных заболеваний</w:t>
            </w:r>
            <w:proofErr w:type="gramEnd"/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Мероприятия, направленные на снижение потребления табака и алкоголя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ограничений розничной продажи алкогольной продукции, установленных на территории Чувашской Республики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3112E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имущественных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земельных отношений 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12E" w:rsidRPr="002D1DA2" w:rsidRDefault="0003112E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правонарушений, совершенных в алкогольном опьянении; увеличение количества граждан, приверженных здоровому образу жизни</w:t>
            </w:r>
          </w:p>
        </w:tc>
      </w:tr>
      <w:tr w:rsidR="00745BF0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противодействию реализации нелегально произведенной спиртосодержащей продукции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имущественных, земельных отношений и инвестиционной деятельности 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торговых точек, реализующих населению нелегально произведенную спиртосодержащую продукцию</w:t>
            </w:r>
          </w:p>
        </w:tc>
      </w:tr>
      <w:tr w:rsidR="00745BF0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рейдов по выявлению фактов незаконной реализации алкогольной продукции населению, в том числе выявлению фактов продажи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алкогольной и спиртосодержащей продукции несовершеннолетним лицам, в целях профилактики потребления алкогольной продукции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имущественных, земельных отношений и инвестиционной деятельности 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случаев незаконной реализации алкогольной продукции населению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 принятие мер по предупреждению потребления несовершеннолетними наркотических средств, психотропных веществ, алкогольной и спиртосодержащей продукции на заседаниях комиссий по делам несовершеннолетних и защите их прав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несовершеннолетних профилактическими мероприятиями по предупреждению потребления наркотических средств, психотропных веществ, алкогольной и спиртосодержащей продукции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размещение уличной социальной антитабачной рекламы (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баннеры, плакаты) в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Яльчикском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округе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B2A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населения о вреде потребления табака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ходе единых информационных дней, встреч с населением ситуации с потреблением алкоголя и табака, а также других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E81B2A" w:rsidRPr="002D1DA2" w:rsidRDefault="00E81B2A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информированности населения о вреде потребления алкоголя, табака и других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через Интернет-ресурсы администрации 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массовой информации разъяснительной работы с населением о вреде табачной и спиртосодержащей продукции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B2A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Минздрава Чувашии;</w:t>
            </w:r>
          </w:p>
          <w:p w:rsidR="00745BF0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BF0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на сайте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 Чувашской Республики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 средствах массовой информации материалов, предупреждающих о вреде потребления табачной и спиртосодержащей продукции, а также информирующих о мероприятиях, проводимых с целью вовлечения населения в ведение здорового образа жизни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здорового питания во всех дошкольных образовательных и общеобразовательных организациях с организованным питанием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аналитических материалов об организации здорового питания для включения в ежегодный государственный доклад о состоянии санитарно-эпидемиологического благополучия населения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питания школьников и удовлетворенности их родителей системой питания в общеобразовательных организациях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школьников, охваченных горячим питанием; повышение удовлетворенности родителей школьников качеством питания в общеобразовательных организациях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сельскохозяйственных ярмарок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</w:t>
            </w: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потребления овощей и фруктов, произведенных на территории Чувашской Республики; подготовка отчета о проведении сельскохозяйственных ярмарок 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результатах</w:t>
            </w:r>
          </w:p>
        </w:tc>
      </w:tr>
      <w:tr w:rsidR="00E81B2A" w:rsidRPr="002D1DA2" w:rsidTr="00E53FE0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Мероприятия, направленные на повышение физической активности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уровня физической подготовленности населения в рамках внедрения Всероссийского физкультурно-спортивного комплекса «Готов к труду и обороне» (ГТО) (далее – ГТО); проведения многоэтапных физкультурных мероприятий, а также мероприятий информационно-просветительского характера, направленных на пропаганду спорта и здорового образа жизни; расширения сети объектов спорта для занятия физической культурой и спортом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лиц, выполнивших нормативы ГТО, в общей численности населения, принявшего участие в сдаче нормативов ГТО; увеличение доли граждан, систематически занимающихся физической культурой и спортом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регионального проекта Чувашской Республики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систематически занимающихся физической культурой и спортом, увеличение доли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мероприятий подпрограммы «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и общественных территорий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="003C2924" w:rsidRPr="002D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FE0" w:rsidRPr="002D1DA2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E53FE0" w:rsidRPr="002D1DA2">
              <w:rPr>
                <w:rFonts w:ascii="Times New Roman" w:hAnsi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="00E53FE0" w:rsidRPr="002D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924" w:rsidRPr="002D1DA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E53FE0" w:rsidRPr="002D1DA2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Республики»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благоустройства дворовых территорий, общественных пространств, установки элементов спортивного и игрового оборудования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возможностей для отдыха, занятий спортом, самореализации граждан; повышение ежедневной физической активности всех категорий населения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спорта, в первую очередь среди несовершеннолетних, за счет создания доступных спортивных секций и подготовки необходимого количества детских тренеров, организации регулярных массовых спортивных акций, семейных и школьных соревнований, чемпионатов любителей массового спорта, в том числе средней и старшей возрастных групп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сети детских спортивных школ и секций, детских тренеров; увеличение числа массовых спортивных акций, семейных и школьных соревнований, чемпионатов любителей массового спорта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ежемесячного Дня здоровья и спорта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лиц, принявших участие в Дне здоровья и спорта и получивших оздоровительные услуги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сети оздоровительных услуг с целью организации досуга населения, привлечения к физкультурно-оздоровительным и спортивным мероприятиям в физкультурно-оздоровительных комплексах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лиц, систематически занимающихся физической культурой и спортом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льготного посещения спортивных, тренажерных залов, бассейнов для детей из малообеспеченных семей, инвалидов, пенсионеров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прейскуранте физкультурно-оздоровительных комплексов льготных цен на услуги для детей из малообеспеченных семей,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инвалидов, пенсионеров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максимально эффективного использования населением материально-технической базы для занятий физической культурой и спортом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органах местного самоуправления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специалистов, ответственных за развитие физической культуры и спорта, в том числе представление статистической отчетности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штатных специалистов, ответственных за развитие физической культуры и спорта, в органах местного самоуправления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клубных объединений физкультурно-спортивной направленности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сети клубных объединений физкультурно-спортивной направленности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физкультминуток в дошкольных образовательных организациях 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здоровом теле - здоровый дух»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в дошкольных образовательных организациях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сдачи норм ГТО работниками органов местного самоуправления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норм ГТО работниками органов местного самоуправления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безвозмездного предоставления услуг физической культуры и спорта по месту учебы и жительства школьников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Безвозмездное предоставление услуг физической культуры и спорта;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двигательной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активности населения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7.14.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постоянной разъяснительной работы по вопросам значимости занятий физической культурой и спортом, в том числе в социальных сетях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745BF0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0730C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BF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Республики;</w:t>
            </w:r>
          </w:p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30C" w:rsidRPr="002D1DA2" w:rsidRDefault="00745BF0" w:rsidP="00745B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hAnsi="Times New Roman"/>
                <w:sz w:val="24"/>
                <w:szCs w:val="24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2D1DA2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 Чувашской Республики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средствах массовой информации, социальных сетях, на официальных сайтах органов местного самоуправления </w:t>
            </w:r>
            <w:proofErr w:type="spellStart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официальных сайтах подведомственных учреждений в информационно-телекоммуникационной сети 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</w:t>
            </w:r>
            <w:r w:rsidR="00E53FE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т»</w:t>
            </w:r>
          </w:p>
        </w:tc>
      </w:tr>
      <w:tr w:rsidR="00E81B2A" w:rsidRPr="002D1DA2" w:rsidTr="00745BF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3C292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плоскостных спортивных сооружений при образовательных организациях (приобретение и установка тренажеров, укладка специальных покрытий на беговых дорожках, футбольном поле, волейбольной и баскетбольной площадках, установка навесов над спортивными снарядами), в том числе для привлечения жителей близлежащих </w:t>
            </w:r>
            <w:r w:rsidR="003C2924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5BF0"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гг.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FE0" w:rsidRPr="002D1DA2" w:rsidRDefault="00E53FE0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="00745BF0" w:rsidRPr="002D1DA2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="00745BF0" w:rsidRPr="002D1DA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30C" w:rsidRPr="002D1DA2" w:rsidRDefault="0090730C" w:rsidP="00745BF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Обновленные плоскостные спортивные сооружения при образовательных организациях</w:t>
            </w:r>
          </w:p>
        </w:tc>
      </w:tr>
    </w:tbl>
    <w:p w:rsidR="00E53FE0" w:rsidRPr="00E81B2A" w:rsidRDefault="00FA4872" w:rsidP="00FA487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  <w:sectPr w:rsidR="00E53FE0" w:rsidRPr="00E81B2A" w:rsidSect="00E53F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D1DA2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942DC3" w:rsidRPr="00E81B2A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2DC3" w:rsidRPr="00E81B2A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2DC3" w:rsidRPr="00E81B2A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2DC3" w:rsidRPr="00E81B2A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2DC3" w:rsidRPr="00E81B2A" w:rsidRDefault="00942DC3" w:rsidP="00942DC3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36999" w:rsidRPr="00E81B2A" w:rsidRDefault="00D36999"/>
    <w:sectPr w:rsidR="00D36999" w:rsidRPr="00E8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24" w:rsidRDefault="003C2924" w:rsidP="003C2924">
      <w:pPr>
        <w:spacing w:after="0" w:line="240" w:lineRule="auto"/>
      </w:pPr>
      <w:r>
        <w:separator/>
      </w:r>
    </w:p>
  </w:endnote>
  <w:endnote w:type="continuationSeparator" w:id="0">
    <w:p w:rsidR="003C2924" w:rsidRDefault="003C2924" w:rsidP="003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24" w:rsidRDefault="003C2924" w:rsidP="003C2924">
      <w:pPr>
        <w:spacing w:after="0" w:line="240" w:lineRule="auto"/>
      </w:pPr>
      <w:r>
        <w:separator/>
      </w:r>
    </w:p>
  </w:footnote>
  <w:footnote w:type="continuationSeparator" w:id="0">
    <w:p w:rsidR="003C2924" w:rsidRDefault="003C2924" w:rsidP="003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24" w:rsidRPr="003C2924" w:rsidRDefault="003C2924" w:rsidP="003C2924">
    <w:pPr>
      <w:pStyle w:val="a8"/>
      <w:jc w:val="right"/>
      <w:rPr>
        <w:rFonts w:ascii="Times New Roman" w:hAnsi="Times New Roman"/>
        <w:b/>
      </w:rPr>
    </w:pPr>
    <w:r w:rsidRPr="003C2924">
      <w:rPr>
        <w:rFonts w:ascii="Times New Roman" w:hAnsi="Times New Roman"/>
        <w:b/>
      </w:rPr>
      <w:t>ПРОЕКТ</w:t>
    </w:r>
  </w:p>
  <w:p w:rsidR="003C2924" w:rsidRDefault="003C29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C3"/>
    <w:rsid w:val="0003112E"/>
    <w:rsid w:val="00115A6F"/>
    <w:rsid w:val="00115AF3"/>
    <w:rsid w:val="00194045"/>
    <w:rsid w:val="002920E8"/>
    <w:rsid w:val="002D1DA2"/>
    <w:rsid w:val="003547A9"/>
    <w:rsid w:val="003C2924"/>
    <w:rsid w:val="00471C00"/>
    <w:rsid w:val="00572894"/>
    <w:rsid w:val="005C427C"/>
    <w:rsid w:val="00745BF0"/>
    <w:rsid w:val="008F5F75"/>
    <w:rsid w:val="0090730C"/>
    <w:rsid w:val="00942DC3"/>
    <w:rsid w:val="009707EC"/>
    <w:rsid w:val="00A7778E"/>
    <w:rsid w:val="00AE7F9F"/>
    <w:rsid w:val="00B423F3"/>
    <w:rsid w:val="00C63D06"/>
    <w:rsid w:val="00C94619"/>
    <w:rsid w:val="00CF0CC8"/>
    <w:rsid w:val="00D050D3"/>
    <w:rsid w:val="00D36999"/>
    <w:rsid w:val="00E53FE0"/>
    <w:rsid w:val="00E81B2A"/>
    <w:rsid w:val="00F9620E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0CC8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2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2DC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42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2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8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0CC8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2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962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92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924"/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B42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23F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0CC8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2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2DC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42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2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8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0CC8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2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962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92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924"/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B42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23F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231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lchiki-crb.me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8CB2-42DF-4EC9-9A84-878A6DA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3</cp:revision>
  <cp:lastPrinted>2021-03-31T08:46:00Z</cp:lastPrinted>
  <dcterms:created xsi:type="dcterms:W3CDTF">2023-02-26T19:13:00Z</dcterms:created>
  <dcterms:modified xsi:type="dcterms:W3CDTF">2023-02-27T05:46:00Z</dcterms:modified>
</cp:coreProperties>
</file>