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Пояснительная записка</w:t>
      </w:r>
      <w:r>
        <w:rPr>
          <w:rFonts w:ascii="PT Astra Serif" w:hAnsi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832"/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к прое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кту закона Чувашской Республики </w:t>
      </w:r>
      <w:r>
        <w:rPr>
          <w:rFonts w:ascii="PT Astra Serif" w:hAnsi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832"/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«О внесении изменени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я в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Закон Чувашской Республики </w:t>
      </w:r>
      <w:r>
        <w:rPr>
          <w:rFonts w:ascii="PT Astra Serif" w:hAnsi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832"/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«О культуре» </w:t>
      </w:r>
      <w:r>
        <w:rPr>
          <w:rFonts w:ascii="PT Astra Serif" w:hAnsi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832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32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Проект закона Чувашской Республики «О внесении изменени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я в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Закон Чувашской Республики «О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культуре»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(далее – проект закона)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разработан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в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целях приведения Закона Чувашской Республики от 27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 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мая 1993 года «О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культуре» в соответствие с законод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ательством Российской Федерации.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PT Astra Serif" w:hAnsi="PT Astra Serif" w:cs="PT Astra Serif"/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eastAsia="PT Astra Serif" w:cs="PT Astra Serif"/>
          <w:sz w:val="26"/>
          <w:szCs w:val="26"/>
        </w:rPr>
        <w:t xml:space="preserve">В соответствии с Законом Российской Федерации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от 9 октября 1992 г.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№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 3612-I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«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Основы законодательства Российской Федерации о культуре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»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(в ред. Федерального закона от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23 марта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202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6 г. № 65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-ФЗ, вступает в силу с 1 сентября 2026 г.)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(далее – Основы законодательства Российской Федерации о культуре)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с 1 сентября 2026 г. учреждения культуры могут с согласия собственника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предоставлять в аренду по льготным ставкам арендной платы закрепленное за ними на праве оперативного управления государственное или муниципальное имущество в целях осуществления арендатором розничной торговли книг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ами, газетами и журналами и проведения культурно-просветительских мероприятий</w:t>
      </w: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  <w:t xml:space="preserve"> в установленном федеральным антимонопольным органом порядке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.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Также закреплены существенные условия договора аренды для таких случаев (запр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ет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 на выкуп, сдачу в субаренду и др.). Льготные ставки и </w:t>
      </w:r>
      <w:r>
        <w:rPr>
          <w:rFonts w:ascii="PT Astra Serif" w:hAnsi="PT Astra Serif" w:eastAsia="PT Astra Serif" w:cs="PT Astra Serif"/>
          <w:color w:val="000000"/>
          <w:sz w:val="26"/>
          <w:szCs w:val="26"/>
          <w:highlight w:val="white"/>
        </w:rPr>
        <w:t xml:space="preserve">порядок</w:t>
      </w:r>
      <w:r>
        <w:rPr>
          <w:rFonts w:ascii="PT Astra Serif" w:hAnsi="PT Astra Serif" w:eastAsia="PT Astra Serif" w:cs="PT Astra Serif"/>
          <w:color w:val="000000"/>
          <w:sz w:val="26"/>
          <w:szCs w:val="26"/>
          <w:highlight w:val="white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расчета </w:t>
      </w:r>
      <w:r>
        <w:rPr>
          <w:rFonts w:ascii="PT Astra Serif" w:hAnsi="PT Astra Serif" w:eastAsia="PT Astra Serif" w:cs="PT Astra Serif"/>
          <w:color w:val="000000"/>
          <w:sz w:val="26"/>
          <w:szCs w:val="26"/>
          <w:highlight w:val="white"/>
        </w:rPr>
        <w:t xml:space="preserve">разм</w:t>
      </w:r>
      <w:r>
        <w:rPr>
          <w:rFonts w:ascii="PT Astra Serif" w:hAnsi="PT Astra Serif" w:eastAsia="PT Astra Serif" w:cs="PT Astra Serif"/>
          <w:color w:val="000000"/>
          <w:sz w:val="26"/>
          <w:szCs w:val="26"/>
          <w:highlight w:val="white"/>
        </w:rPr>
        <w:t xml:space="preserve">ера</w:t>
      </w:r>
      <w:r>
        <w:rPr>
          <w:rFonts w:ascii="PT Astra Serif" w:hAnsi="PT Astra Serif" w:eastAsia="PT Astra Serif" w:cs="PT Astra Serif"/>
          <w:color w:val="000000"/>
          <w:sz w:val="26"/>
          <w:szCs w:val="26"/>
          <w:highlight w:val="white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арендной платы утверждают Правительство Российской Федерации, орган власти субъекта Российской Федерации и органы местного самоуправления для федерального, регионального и муниципальног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о имущества соответственно.</w:t>
      </w:r>
      <w:r>
        <w:rPr>
          <w:rFonts w:ascii="PT Astra Serif" w:hAnsi="PT Astra Serif" w:cs="PT Astra Serif"/>
          <w:color w:val="000000"/>
          <w:sz w:val="26"/>
          <w:szCs w:val="26"/>
        </w:rPr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ind w:firstLine="709"/>
        <w:jc w:val="both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Проектом закона предлагается внести аналогичное изменение в Закон Чувашской Республики от 27 мая 1993 г. «О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культуре»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в части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дополнения статьей 35.1,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которым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в соответствии со статьей 47.1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Основ законодательства Российской Федерации о культуре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 устанавливается право организаций культуры сдавать в аренду по льготным ставкам арендной платы закрепленное за ними на праве оперативного управления государственное или муниципальное имущество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(с согласия собственника указанного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имущества) в целях осуществления арендатором розничной торговли книгами, газетами и журналами и проведения культурно-просветительных мероприятий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Льготная ставка арендн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ой платы и порядок расчета размера арендной платы по договорам аренды в отношении имущества, находящегося в государственной собственности Чувашской Республики, устанавливаются Кабинетом Министров Чувашской Республики.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ind w:firstLine="709"/>
        <w:jc w:val="both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Льготная ставка арендной платы и порядок расчета размера арендной платы по договорам аренды в отношении имущества, находящегося в муниципальной собственности, устанавливаются актом органа местного самоуправления.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ind w:firstLine="709"/>
        <w:jc w:val="both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  <w:t xml:space="preserve">П</w:t>
      </w:r>
      <w:r>
        <w:rPr>
          <w:rFonts w:ascii="PT Astra Serif" w:hAnsi="PT Astra Serif" w:cs="PT Astra Serif"/>
          <w:sz w:val="26"/>
          <w:szCs w:val="26"/>
          <w:highlight w:val="none"/>
        </w:rPr>
        <w:t xml:space="preserve">роект закона не устанавливает новые или не изменяет ранее предусмотренные нормативными правовыми актами 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</w:t>
      </w:r>
      <w:r>
        <w:rPr>
          <w:rFonts w:ascii="PT Astra Serif" w:hAnsi="PT Astra Serif" w:cs="PT Astra Serif"/>
          <w:sz w:val="26"/>
          <w:szCs w:val="26"/>
          <w:highlight w:val="none"/>
        </w:rPr>
        <w:t xml:space="preserve">х</w:t>
      </w:r>
      <w:r>
        <w:rPr>
          <w:rFonts w:ascii="PT Astra Serif" w:hAnsi="PT Astra Serif" w:cs="PT Astra Serif"/>
          <w:sz w:val="26"/>
          <w:szCs w:val="26"/>
          <w:highlight w:val="none"/>
        </w:rPr>
        <w:t xml:space="preserve">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экспертиз, не устанавливает новые или н</w:t>
      </w:r>
      <w:r>
        <w:rPr>
          <w:rFonts w:ascii="PT Astra Serif" w:hAnsi="PT Astra Serif" w:cs="PT Astra Serif"/>
          <w:sz w:val="26"/>
          <w:szCs w:val="26"/>
          <w:highlight w:val="none"/>
        </w:rPr>
        <w:t xml:space="preserve">е</w:t>
      </w:r>
      <w:r>
        <w:rPr>
          <w:rFonts w:ascii="PT Astra Serif" w:hAnsi="PT Astra Serif" w:cs="PT Astra Serif"/>
          <w:sz w:val="26"/>
          <w:szCs w:val="26"/>
          <w:highlight w:val="none"/>
        </w:rPr>
        <w:t xml:space="preserve"> изменяет ранее предусмотренные обязанности и запреты для субъектов предпринимательской и инвестиционной деятельности, не устанавливает или не изменяет ответственность за нарушение нормативных правовых актов Чувашской Республики, затрагивающих вопросы осущ</w:t>
      </w:r>
      <w:r>
        <w:rPr>
          <w:rFonts w:ascii="PT Astra Serif" w:hAnsi="PT Astra Serif" w:cs="PT Astra Serif"/>
          <w:sz w:val="26"/>
          <w:szCs w:val="26"/>
          <w:highlight w:val="none"/>
        </w:rPr>
        <w:t xml:space="preserve">ествления предпринимательской и иной экономической деятельности, в связи с этим не подлежит оценке регулирующего воздействия.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ind w:firstLine="709"/>
        <w:jc w:val="both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sz w:val="26"/>
          <w:szCs w:val="26"/>
        </w:rPr>
        <w:t xml:space="preserve">Принятие данного проекта закона не потребует выделения дополнител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ь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ных средств из республиканского бюджета Чувашской Республики.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32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tbl>
      <w:tblPr>
        <w:tblW w:w="9855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936"/>
        <w:gridCol w:w="3827"/>
        <w:gridCol w:w="2092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936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pStyle w:val="832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  <w:t xml:space="preserve">Министр культуры, по делам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pStyle w:val="832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  <w:t xml:space="preserve">национальностей и архивного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pStyle w:val="832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  <w:t xml:space="preserve">дела Чувашской Республики 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  <w:t xml:space="preserve">        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827" w:type="dxa"/>
            <w:vAlign w:val="top"/>
            <w:textDirection w:val="lrTb"/>
            <w:noWrap w:val="false"/>
          </w:tcPr>
          <w:p>
            <w:r>
              <w:t xml:space="preserve">                        </w:t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3072" behindDoc="0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670</wp:posOffset>
                      </wp:positionV>
                      <wp:extent cx="1806915" cy="828675"/>
                      <wp:effectExtent l="0" t="0" r="0" b="0"/>
                      <wp:wrapSquare wrapText="bothSides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71364310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1806914" cy="8286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3072;o:allowoverlap:true;o:allowincell:true;mso-position-horizontal-relative:text;margin-left:3.60pt;mso-position-horizontal:absolute;mso-position-vertical-relative:text;margin-top:0.05pt;mso-position-vertical:absolute;width:142.28pt;height:65.25pt;mso-wrap-distance-left:9.07pt;mso-wrap-distance-top:0.00pt;mso-wrap-distance-right:9.07pt;mso-wrap-distance-bottom:0.00pt;rotation:0;" stroked="false">
                      <v:path textboxrect="0,0,0,0"/>
                      <w10:wrap type="square"/>
                      <v:imagedata r:id="rId8" o:title=""/>
                    </v:shape>
                  </w:pict>
                </mc:Fallback>
              </mc:AlternateContent>
            </w:r>
            <w:r/>
          </w:p>
          <w:p>
            <w:pPr>
              <w:pStyle w:val="832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092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pStyle w:val="832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pStyle w:val="832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pStyle w:val="832"/>
              <w:jc w:val="right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  <w:t xml:space="preserve">   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  <w:t xml:space="preserve">С.А. Каликова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</w:tbl>
    <w:p>
      <w:pPr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ET">
    <w:panose1 w:val="02000603000000000000"/>
  </w:font>
  <w:font w:name="Calibri">
    <w:panose1 w:val="020F0502020204030204"/>
  </w:font>
  <w:font w:name="Cambria">
    <w:panose1 w:val="0204050305040603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rPr>
      <w:sz w:val="24"/>
      <w:szCs w:val="24"/>
      <w:lang w:val="ru-RU" w:eastAsia="ru-RU" w:bidi="ar-SA"/>
    </w:rPr>
  </w:style>
  <w:style w:type="paragraph" w:styleId="833">
    <w:name w:val="Заголовок 2"/>
    <w:basedOn w:val="832"/>
    <w:next w:val="832"/>
    <w:link w:val="846"/>
    <w:qFormat/>
    <w:pPr>
      <w:keepLines/>
      <w:keepNext/>
      <w:spacing w:before="200"/>
      <w:outlineLvl w:val="1"/>
    </w:pPr>
    <w:rPr>
      <w:rFonts w:ascii="Cambria" w:hAnsi="Cambria" w:eastAsia="Calibri"/>
      <w:b/>
      <w:bCs/>
      <w:color w:val="4f81bd"/>
      <w:sz w:val="26"/>
      <w:szCs w:val="26"/>
    </w:rPr>
  </w:style>
  <w:style w:type="character" w:styleId="834">
    <w:name w:val="Основной шрифт абзаца"/>
    <w:next w:val="834"/>
    <w:link w:val="832"/>
    <w:semiHidden/>
  </w:style>
  <w:style w:type="table" w:styleId="835">
    <w:name w:val="Обычная таблица"/>
    <w:next w:val="835"/>
    <w:link w:val="832"/>
    <w:semiHidden/>
    <w:tblPr/>
  </w:style>
  <w:style w:type="numbering" w:styleId="836">
    <w:name w:val="Нет списка"/>
    <w:next w:val="836"/>
    <w:link w:val="832"/>
    <w:semiHidden/>
  </w:style>
  <w:style w:type="paragraph" w:styleId="837">
    <w:name w:val="Обычный (веб)"/>
    <w:basedOn w:val="832"/>
    <w:next w:val="837"/>
    <w:link w:val="832"/>
    <w:pPr>
      <w:spacing w:before="100" w:beforeAutospacing="1" w:after="100" w:afterAutospacing="1"/>
    </w:pPr>
  </w:style>
  <w:style w:type="paragraph" w:styleId="838">
    <w:name w:val="Body Text 2"/>
    <w:basedOn w:val="832"/>
    <w:next w:val="838"/>
    <w:link w:val="832"/>
    <w:pPr>
      <w:ind w:firstLine="720"/>
      <w:jc w:val="both"/>
    </w:pPr>
    <w:rPr>
      <w:rFonts w:ascii="TimesET" w:hAnsi="TimesET"/>
      <w:szCs w:val="20"/>
    </w:rPr>
  </w:style>
  <w:style w:type="paragraph" w:styleId="839">
    <w:name w:val="Основной текст"/>
    <w:basedOn w:val="832"/>
    <w:next w:val="839"/>
    <w:link w:val="832"/>
    <w:pPr>
      <w:jc w:val="both"/>
      <w:spacing w:after="120" w:line="360" w:lineRule="atLeast"/>
      <w:widowControl w:val="off"/>
    </w:pPr>
  </w:style>
  <w:style w:type="paragraph" w:styleId="840">
    <w:name w:val="Текст выноски"/>
    <w:basedOn w:val="832"/>
    <w:next w:val="840"/>
    <w:link w:val="832"/>
    <w:semiHidden/>
    <w:rPr>
      <w:rFonts w:ascii="Tahoma" w:hAnsi="Tahoma" w:cs="Tahoma"/>
      <w:sz w:val="16"/>
      <w:szCs w:val="16"/>
    </w:rPr>
  </w:style>
  <w:style w:type="paragraph" w:styleId="841">
    <w:name w:val="ConsPlusNormal"/>
    <w:next w:val="841"/>
    <w:link w:val="832"/>
    <w:rPr>
      <w:rFonts w:ascii="Arial" w:hAnsi="Arial" w:cs="Arial"/>
      <w:lang w:val="ru-RU" w:eastAsia="ru-RU" w:bidi="ar-SA"/>
    </w:rPr>
  </w:style>
  <w:style w:type="paragraph" w:styleId="842">
    <w:name w:val="Верхний колонтитул"/>
    <w:basedOn w:val="832"/>
    <w:next w:val="842"/>
    <w:link w:val="843"/>
    <w:uiPriority w:val="99"/>
    <w:pPr>
      <w:tabs>
        <w:tab w:val="center" w:pos="4677" w:leader="none"/>
        <w:tab w:val="right" w:pos="9355" w:leader="none"/>
      </w:tabs>
    </w:pPr>
  </w:style>
  <w:style w:type="character" w:styleId="843">
    <w:name w:val="Верхний колонтитул Знак"/>
    <w:next w:val="843"/>
    <w:link w:val="842"/>
    <w:uiPriority w:val="99"/>
    <w:rPr>
      <w:sz w:val="24"/>
      <w:szCs w:val="24"/>
    </w:rPr>
  </w:style>
  <w:style w:type="paragraph" w:styleId="844">
    <w:name w:val="Нижний колонтитул"/>
    <w:basedOn w:val="832"/>
    <w:next w:val="844"/>
    <w:link w:val="845"/>
    <w:pPr>
      <w:tabs>
        <w:tab w:val="center" w:pos="4677" w:leader="none"/>
        <w:tab w:val="right" w:pos="9355" w:leader="none"/>
      </w:tabs>
    </w:pPr>
  </w:style>
  <w:style w:type="character" w:styleId="845">
    <w:name w:val="Нижний колонтитул Знак"/>
    <w:next w:val="845"/>
    <w:link w:val="844"/>
    <w:rPr>
      <w:sz w:val="24"/>
      <w:szCs w:val="24"/>
    </w:rPr>
  </w:style>
  <w:style w:type="character" w:styleId="846">
    <w:name w:val="Заголовок 2 Знак"/>
    <w:next w:val="846"/>
    <w:link w:val="833"/>
    <w:rPr>
      <w:rFonts w:ascii="Cambria" w:hAnsi="Cambria" w:eastAsia="Calibri"/>
      <w:b/>
      <w:bCs/>
      <w:color w:val="4f81bd"/>
      <w:sz w:val="26"/>
      <w:szCs w:val="26"/>
    </w:rPr>
  </w:style>
  <w:style w:type="paragraph" w:styleId="847">
    <w:name w:val="s_1"/>
    <w:basedOn w:val="832"/>
    <w:next w:val="847"/>
    <w:link w:val="832"/>
    <w:pPr>
      <w:spacing w:before="100" w:beforeAutospacing="1" w:after="100" w:afterAutospacing="1"/>
    </w:pPr>
  </w:style>
  <w:style w:type="character" w:styleId="848">
    <w:name w:val="Гиперссылка"/>
    <w:next w:val="848"/>
    <w:link w:val="832"/>
    <w:uiPriority w:val="99"/>
    <w:unhideWhenUsed/>
    <w:rPr>
      <w:color w:val="0000ff"/>
      <w:u w:val="single"/>
    </w:rPr>
  </w:style>
  <w:style w:type="character" w:styleId="849">
    <w:name w:val="Просмотренная гиперссылка"/>
    <w:next w:val="849"/>
    <w:link w:val="832"/>
    <w:rPr>
      <w:color w:val="800080"/>
      <w:u w:val="single"/>
    </w:rPr>
  </w:style>
  <w:style w:type="character" w:styleId="850" w:default="1">
    <w:name w:val="Default Paragraph Font"/>
    <w:uiPriority w:val="1"/>
    <w:semiHidden/>
    <w:unhideWhenUsed/>
  </w:style>
  <w:style w:type="numbering" w:styleId="851" w:default="1">
    <w:name w:val="No List"/>
    <w:uiPriority w:val="99"/>
    <w:semiHidden/>
    <w:unhideWhenUsed/>
  </w:style>
  <w:style w:type="table" w:styleId="85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Reanimator Extreme Edition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culture37</dc:creator>
  <cp:lastModifiedBy>culture47@cap.ru</cp:lastModifiedBy>
  <cp:revision>24</cp:revision>
  <dcterms:created xsi:type="dcterms:W3CDTF">2023-06-05T12:11:00Z</dcterms:created>
  <dcterms:modified xsi:type="dcterms:W3CDTF">2026-05-20T14:14:37Z</dcterms:modified>
  <cp:version>917504</cp:version>
</cp:coreProperties>
</file>