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Минстроя России от 06.04.2017 N 690/пр</w:t>
              <w:br/>
              <w:t xml:space="preserve">(ред. от 30.07.2021)</w:t>
              <w:br/>
              <w:t xml:space="preserve">"Об утверждении методики оценки конкурсных заявок муниципальных образований, представляемых для участия в номинации "Градостроительная политика, обеспечение благоприятной среды жизнедеятельности населения и развитие жилищно-коммунального хозяйства" Всероссийского конкурса "Лучшая муниципальная практика"</w:t>
              <w:br/>
              <w:t xml:space="preserve">(Зарегистрировано в Минюсте России 20.04.2017 N 46443)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14.04.2023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апреля 2017 г. N 46443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СТРОИТЕЛЬСТВА И ЖИЛИЩНО-КОММУНАЛЬНОГО</w:t>
      </w:r>
    </w:p>
    <w:p>
      <w:pPr>
        <w:pStyle w:val="2"/>
        <w:jc w:val="center"/>
      </w:pPr>
      <w:r>
        <w:rPr>
          <w:sz w:val="20"/>
        </w:rPr>
        <w:t xml:space="preserve">ХОЗЯЙСТВА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6 апреля 2017 г. N 690/пр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МЕТОДИКИ</w:t>
      </w:r>
    </w:p>
    <w:p>
      <w:pPr>
        <w:pStyle w:val="2"/>
        <w:jc w:val="center"/>
      </w:pPr>
      <w:r>
        <w:rPr>
          <w:sz w:val="20"/>
        </w:rPr>
        <w:t xml:space="preserve">ОЦЕНКИ КОНКУРСНЫХ ЗАЯВОК МУНИЦИПАЛЬНЫХ ОБРАЗОВАНИЙ,</w:t>
      </w:r>
    </w:p>
    <w:p>
      <w:pPr>
        <w:pStyle w:val="2"/>
        <w:jc w:val="center"/>
      </w:pPr>
      <w:r>
        <w:rPr>
          <w:sz w:val="20"/>
        </w:rPr>
        <w:t xml:space="preserve">ПРЕДСТАВЛЯЕМЫХ ДЛЯ УЧАСТИЯ В НОМИНАЦИИ "ГРАДОСТРОИТЕЛЬНАЯ</w:t>
      </w:r>
    </w:p>
    <w:p>
      <w:pPr>
        <w:pStyle w:val="2"/>
        <w:jc w:val="center"/>
      </w:pPr>
      <w:r>
        <w:rPr>
          <w:sz w:val="20"/>
        </w:rPr>
        <w:t xml:space="preserve">ПОЛИТИКА, ОБЕСПЕЧЕНИЕ БЛАГОПРИЯТНОЙ СРЕДЫ ЖИЗНЕДЕЯТЕЛЬНОСТИ</w:t>
      </w:r>
    </w:p>
    <w:p>
      <w:pPr>
        <w:pStyle w:val="2"/>
        <w:jc w:val="center"/>
      </w:pPr>
      <w:r>
        <w:rPr>
          <w:sz w:val="20"/>
        </w:rPr>
        <w:t xml:space="preserve">НАСЕЛЕНИЯ И РАЗВИТИЕ ЖИЛИЩНО-КОММУНАЛЬНОГО ХОЗЯЙСТВА"</w:t>
      </w:r>
    </w:p>
    <w:p>
      <w:pPr>
        <w:pStyle w:val="2"/>
        <w:jc w:val="center"/>
      </w:pPr>
      <w:r>
        <w:rPr>
          <w:sz w:val="20"/>
        </w:rPr>
        <w:t xml:space="preserve">ВСЕРОССИЙСКОГО КОНКУРСА "ЛУЧШАЯ МУНИЦИПАЛЬНАЯ ПРАКТИКА"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Минстроя России от 10.07.2020 </w:t>
            </w:r>
            <w:hyperlink w:history="0" r:id="rId7" w:tooltip="Приказ Минстроя России от 10.07.2020 N 376/пр &quot;О внесении изменений в методику оценки конкурсных заявок муниципальных образований, представляемых для участия в номинации &quot;Градостроительная политика, обеспечение благоприятной среды жизнедеятельности населения и развитие жилищно-коммунального хозяйства&quot; Всероссийского конкурса &quot;Лучшая муниципальная практика&quot;, утвержденную приказом Министерства строительства и жилищно-коммунального хозяйства Российской Федерации от 6 апреля 2017 г. N 690/пр&quot; (Зарегистрировано  {КонсультантПлюс}">
              <w:r>
                <w:rPr>
                  <w:sz w:val="20"/>
                  <w:color w:val="0000ff"/>
                </w:rPr>
                <w:t xml:space="preserve">N 376/пр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30.07.2021 </w:t>
            </w:r>
            <w:hyperlink w:history="0" r:id="rId8" w:tooltip="Приказ Минстроя России от 30.07.2021 N 515/пр &quot;О внесении изменения в методику оценки конкурсных заявок муниципальных образований, представляемых для участия в номинации &quot;Градостроительная политика, обеспечение благоприятной среды жизнедеятельности населения и развитие жилищно-коммунального хозяйства&quot; Всероссийского конкурса &quot;Лучшая муниципальная практика&quot;, утвержденную приказом Министерства строительства и жилищно-коммунального хозяйства Российской Федерации от 6 апреля 2017 г. N 690/пр&quot; (Зарегистрировано  {КонсультантПлюс}">
              <w:r>
                <w:rPr>
                  <w:sz w:val="20"/>
                  <w:color w:val="0000ff"/>
                </w:rPr>
                <w:t xml:space="preserve">N 515/пр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</w:t>
      </w:r>
      <w:r>
        <w:rPr>
          <w:sz w:val="20"/>
        </w:rPr>
        <w:t xml:space="preserve"> постановления Правительства Российской Федерации от 18 августа 2016 г. N 815 "О Всероссийском конкурсе "Лучшая муниципальная практика" (Собрание законодательства Российской Федерации, 2016, N 35, ст. 5335)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методику оценки конкурсных заявок муниципальных образований, представляемых для участия в номинации "Градостроительная политика, обеспечение благоприятной среды жизнедеятельности населения и развитие жилищно-коммунального хозяйства" Всероссийского конкурса "Лучшая муниципальная практика" согласно </w:t>
      </w:r>
      <w:hyperlink w:history="0" w:anchor="P40" w:tooltip="МЕТОДИКА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Департаменту городской среды (О.Н. Демченко) не позднее 10 дней со дня подписания направить настоящий приказ на государственную регистрацию в Министерство юстиции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М.А.МЕНЬ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строительства</w:t>
      </w:r>
    </w:p>
    <w:p>
      <w:pPr>
        <w:pStyle w:val="0"/>
        <w:jc w:val="right"/>
      </w:pPr>
      <w:r>
        <w:rPr>
          <w:sz w:val="20"/>
        </w:rPr>
        <w:t xml:space="preserve">и жилищно-коммунального хозяйства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6 апреля 2017 г. N 690/пр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0" w:name="P40"/>
    <w:bookmarkEnd w:id="40"/>
    <w:p>
      <w:pPr>
        <w:pStyle w:val="2"/>
        <w:jc w:val="center"/>
      </w:pPr>
      <w:r>
        <w:rPr>
          <w:sz w:val="20"/>
        </w:rPr>
        <w:t xml:space="preserve">МЕТОДИКА</w:t>
      </w:r>
    </w:p>
    <w:p>
      <w:pPr>
        <w:pStyle w:val="2"/>
        <w:jc w:val="center"/>
      </w:pPr>
      <w:r>
        <w:rPr>
          <w:sz w:val="20"/>
        </w:rPr>
        <w:t xml:space="preserve">ОЦЕНКИ КОНКУРСНЫХ ЗАЯВОК МУНИЦИПАЛЬНЫХ ОБРАЗОВАНИЙ,</w:t>
      </w:r>
    </w:p>
    <w:p>
      <w:pPr>
        <w:pStyle w:val="2"/>
        <w:jc w:val="center"/>
      </w:pPr>
      <w:r>
        <w:rPr>
          <w:sz w:val="20"/>
        </w:rPr>
        <w:t xml:space="preserve">ПРЕДСТАВЛЯЕМЫХ ДЛЯ УЧАСТИЯ В НОМИНАЦИИ "ГРАДОСТРОИТЕЛЬНАЯ</w:t>
      </w:r>
    </w:p>
    <w:p>
      <w:pPr>
        <w:pStyle w:val="2"/>
        <w:jc w:val="center"/>
      </w:pPr>
      <w:r>
        <w:rPr>
          <w:sz w:val="20"/>
        </w:rPr>
        <w:t xml:space="preserve">ПОЛИТИКА, ОБЕСПЕЧЕНИЕ БЛАГОПРИЯТНОЙ СРЕДЫ ЖИЗНЕДЕЯТЕЛЬНОСТИ</w:t>
      </w:r>
    </w:p>
    <w:p>
      <w:pPr>
        <w:pStyle w:val="2"/>
        <w:jc w:val="center"/>
      </w:pPr>
      <w:r>
        <w:rPr>
          <w:sz w:val="20"/>
        </w:rPr>
        <w:t xml:space="preserve">НАСЕЛЕНИЯ И РАЗВИТИЕ ЖИЛИЩНО-КОММУНАЛЬНОГО ХОЗЯЙСТВА"</w:t>
      </w:r>
    </w:p>
    <w:p>
      <w:pPr>
        <w:pStyle w:val="2"/>
        <w:jc w:val="center"/>
      </w:pPr>
      <w:r>
        <w:rPr>
          <w:sz w:val="20"/>
        </w:rPr>
        <w:t xml:space="preserve">ВСЕРОССИЙСКОГО КОНКУРСА "ЛУЧШАЯ МУНИЦИПАЛЬНАЯ ПРАКТИКА"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Минстроя России от 10.07.2020 </w:t>
            </w:r>
            <w:hyperlink w:history="0" r:id="rId9" w:tooltip="Приказ Минстроя России от 10.07.2020 N 376/пр &quot;О внесении изменений в методику оценки конкурсных заявок муниципальных образований, представляемых для участия в номинации &quot;Градостроительная политика, обеспечение благоприятной среды жизнедеятельности населения и развитие жилищно-коммунального хозяйства&quot; Всероссийского конкурса &quot;Лучшая муниципальная практика&quot;, утвержденную приказом Министерства строительства и жилищно-коммунального хозяйства Российской Федерации от 6 апреля 2017 г. N 690/пр&quot; (Зарегистрировано  {КонсультантПлюс}">
              <w:r>
                <w:rPr>
                  <w:sz w:val="20"/>
                  <w:color w:val="0000ff"/>
                </w:rPr>
                <w:t xml:space="preserve">N 376/пр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30.07.2021 </w:t>
            </w:r>
            <w:hyperlink w:history="0" r:id="rId10" w:tooltip="Приказ Минстроя России от 30.07.2021 N 515/пр &quot;О внесении изменения в методику оценки конкурсных заявок муниципальных образований, представляемых для участия в номинации &quot;Градостроительная политика, обеспечение благоприятной среды жизнедеятельности населения и развитие жилищно-коммунального хозяйства&quot; Всероссийского конкурса &quot;Лучшая муниципальная практика&quot;, утвержденную приказом Министерства строительства и жилищно-коммунального хозяйства Российской Федерации от 6 апреля 2017 г. N 690/пр&quot; (Зарегистрировано  {КонсультантПлюс}">
              <w:r>
                <w:rPr>
                  <w:sz w:val="20"/>
                  <w:color w:val="0000ff"/>
                </w:rPr>
                <w:t xml:space="preserve">N 515/пр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Настоящей Методикой определяется порядок оценки конкурсных заявок муниципальных образований, представляемых для участия в номинации "Градостроительная политика, обеспечение благоприятной среды жизнедеятельности населения и развитие жилищно-коммунального хозяйства" Всероссийского конкурса "Лучшая муниципальная практика" (далее - конкурсная заявка).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Оценка конкурсных заявок осуществляется подкомиссией федеральной конкурсной комиссии по организации и проведению Всероссийского конкурса "Лучшая муниципальная практика" (далее - конкурс) по номинации "Градостроительная политика, обеспечение благоприятной среды жизнедеятельности населения и развитие жилищно-коммунального хозяйства" (далее - Подкомиссия).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Подкомиссия оценивает конкурсные заявки путем присвоения баллов по </w:t>
      </w:r>
      <w:hyperlink w:history="0" r:id="rId11" w:tooltip="Приказ Минстроя России от 28.02.2017 N 587/пр (ред. от 30.07.2021) &quot;Об утверждении формы конкурсной заявки муниципального образования для участия в номинации &quot;Градостроительная политика, обеспечение благоприятной среды жизнедеятельности населения и развитие жилищно-коммунального хозяйства&quot; Всероссийского конкурса &quot;Лучшая муниципальная практика&quot; (Зарегистрировано в Минюсте России 10.03.2017 N 45884) {КонсультантПлюс}">
        <w:r>
          <w:rPr>
            <w:sz w:val="20"/>
            <w:color w:val="0000ff"/>
          </w:rPr>
          <w:t xml:space="preserve">пунктам 3</w:t>
        </w:r>
      </w:hyperlink>
      <w:r>
        <w:rPr>
          <w:sz w:val="20"/>
        </w:rPr>
        <w:t xml:space="preserve"> - </w:t>
      </w:r>
      <w:hyperlink w:history="0" r:id="rId12" w:tooltip="Приказ Минстроя России от 28.02.2017 N 587/пр (ред. от 30.07.2021) &quot;Об утверждении формы конкурсной заявки муниципального образования для участия в номинации &quot;Градостроительная политика, обеспечение благоприятной среды жизнедеятельности населения и развитие жилищно-коммунального хозяйства&quot; Всероссийского конкурса &quot;Лучшая муниципальная практика&quot; (Зарегистрировано в Минюсте России 10.03.2017 N 45884) {КонсультантПлюс}">
        <w:r>
          <w:rPr>
            <w:sz w:val="20"/>
            <w:color w:val="0000ff"/>
          </w:rPr>
          <w:t xml:space="preserve">11 раздела II</w:t>
        </w:r>
      </w:hyperlink>
      <w:r>
        <w:rPr>
          <w:sz w:val="20"/>
        </w:rPr>
        <w:t xml:space="preserve"> конкурсной заявки на основании показателей (критериев оценки), предусмотренных </w:t>
      </w:r>
      <w:hyperlink w:history="0" w:anchor="P54" w:tooltip="4. Показатели (критерии оценки) определяются с учетом следующего:">
        <w:r>
          <w:rPr>
            <w:sz w:val="20"/>
            <w:color w:val="0000ff"/>
          </w:rPr>
          <w:t xml:space="preserve">Таблицей</w:t>
        </w:r>
      </w:hyperlink>
      <w:r>
        <w:rPr>
          <w:sz w:val="20"/>
        </w:rPr>
        <w:t xml:space="preserve">, содержащейся в </w:t>
      </w:r>
      <w:hyperlink w:history="0" w:anchor="P54" w:tooltip="4. Показатели (критерии оценки) определяются с учетом следующего: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настоящей Методики (далее - Таблица).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риказ Минстроя России от 10.07.2020 N 376/пр &quot;О внесении изменений в методику оценки конкурсных заявок муниципальных образований, представляемых для участия в номинации &quot;Градостроительная политика, обеспечение благоприятной среды жизнедеятельности населения и развитие жилищно-коммунального хозяйства&quot; Всероссийского конкурса &quot;Лучшая муниципальная практика&quot;, утвержденную приказом Министерства строительства и жилищно-коммунального хозяйства Российской Федерации от 6 апреля 2017 г. N 690/пр&quot; (Зарегистрировано 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Минстроя России от 10.07.2020 N 376/пр)</w:t>
      </w:r>
    </w:p>
    <w:bookmarkStart w:id="54" w:name="P54"/>
    <w:bookmarkEnd w:id="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Показатели (критерии оценки) определяются с учетом следующего: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 показателям (критериям оценки), предусмотренным </w:t>
      </w:r>
      <w:hyperlink w:history="0" w:anchor="P67" w:tooltip="1.1.">
        <w:r>
          <w:rPr>
            <w:sz w:val="20"/>
            <w:color w:val="0000ff"/>
          </w:rPr>
          <w:t xml:space="preserve">пунктами 1.1</w:t>
        </w:r>
      </w:hyperlink>
      <w:r>
        <w:rPr>
          <w:sz w:val="20"/>
        </w:rPr>
        <w:t xml:space="preserve"> - </w:t>
      </w:r>
      <w:hyperlink w:history="0" w:anchor="P70" w:tooltip="1.2.">
        <w:r>
          <w:rPr>
            <w:sz w:val="20"/>
            <w:color w:val="0000ff"/>
          </w:rPr>
          <w:t xml:space="preserve">1.2</w:t>
        </w:r>
      </w:hyperlink>
      <w:r>
        <w:rPr>
          <w:sz w:val="20"/>
        </w:rPr>
        <w:t xml:space="preserve">, </w:t>
      </w:r>
      <w:hyperlink w:history="0" w:anchor="P74" w:tooltip="2.1.">
        <w:r>
          <w:rPr>
            <w:sz w:val="20"/>
            <w:color w:val="0000ff"/>
          </w:rPr>
          <w:t xml:space="preserve">2.1</w:t>
        </w:r>
      </w:hyperlink>
      <w:r>
        <w:rPr>
          <w:sz w:val="20"/>
        </w:rPr>
        <w:t xml:space="preserve"> - </w:t>
      </w:r>
      <w:hyperlink w:history="0" w:anchor="P86" w:tooltip="2.5.">
        <w:r>
          <w:rPr>
            <w:sz w:val="20"/>
            <w:color w:val="0000ff"/>
          </w:rPr>
          <w:t xml:space="preserve">2.5</w:t>
        </w:r>
      </w:hyperlink>
      <w:r>
        <w:rPr>
          <w:sz w:val="20"/>
        </w:rPr>
        <w:t xml:space="preserve">, </w:t>
      </w:r>
      <w:hyperlink w:history="0" w:anchor="P103" w:tooltip="4.1.">
        <w:r>
          <w:rPr>
            <w:sz w:val="20"/>
            <w:color w:val="0000ff"/>
          </w:rPr>
          <w:t xml:space="preserve">4.1</w:t>
        </w:r>
      </w:hyperlink>
      <w:r>
        <w:rPr>
          <w:sz w:val="20"/>
        </w:rPr>
        <w:t xml:space="preserve">, </w:t>
      </w:r>
      <w:hyperlink w:history="0" w:anchor="P117" w:tooltip="6.1.">
        <w:r>
          <w:rPr>
            <w:sz w:val="20"/>
            <w:color w:val="0000ff"/>
          </w:rPr>
          <w:t xml:space="preserve">6.1</w:t>
        </w:r>
      </w:hyperlink>
      <w:r>
        <w:rPr>
          <w:sz w:val="20"/>
        </w:rPr>
        <w:t xml:space="preserve"> - </w:t>
      </w:r>
      <w:hyperlink w:history="0" w:anchor="P132" w:tooltip="6.6.">
        <w:r>
          <w:rPr>
            <w:sz w:val="20"/>
            <w:color w:val="0000ff"/>
          </w:rPr>
          <w:t xml:space="preserve">6.6</w:t>
        </w:r>
      </w:hyperlink>
      <w:r>
        <w:rPr>
          <w:sz w:val="20"/>
        </w:rPr>
        <w:t xml:space="preserve">, </w:t>
      </w:r>
      <w:hyperlink w:history="0" w:anchor="P154" w:tooltip="10.1.">
        <w:r>
          <w:rPr>
            <w:sz w:val="20"/>
            <w:color w:val="0000ff"/>
          </w:rPr>
          <w:t xml:space="preserve">10.1</w:t>
        </w:r>
      </w:hyperlink>
      <w:r>
        <w:rPr>
          <w:sz w:val="20"/>
        </w:rPr>
        <w:t xml:space="preserve">, </w:t>
      </w:r>
      <w:hyperlink w:history="0" w:anchor="P158" w:tooltip="11.1.">
        <w:r>
          <w:rPr>
            <w:sz w:val="20"/>
            <w:color w:val="0000ff"/>
          </w:rPr>
          <w:t xml:space="preserve">11.1</w:t>
        </w:r>
      </w:hyperlink>
      <w:r>
        <w:rPr>
          <w:sz w:val="20"/>
        </w:rPr>
        <w:t xml:space="preserve">, </w:t>
      </w:r>
      <w:hyperlink w:history="0" w:anchor="P169" w:tooltip="13.1.">
        <w:r>
          <w:rPr>
            <w:sz w:val="20"/>
            <w:color w:val="0000ff"/>
          </w:rPr>
          <w:t xml:space="preserve">13.1</w:t>
        </w:r>
      </w:hyperlink>
      <w:r>
        <w:rPr>
          <w:sz w:val="20"/>
        </w:rPr>
        <w:t xml:space="preserve">, </w:t>
      </w:r>
      <w:hyperlink w:history="0" w:anchor="P172" w:tooltip="13.2.">
        <w:r>
          <w:rPr>
            <w:sz w:val="20"/>
            <w:color w:val="0000ff"/>
          </w:rPr>
          <w:t xml:space="preserve">13.2</w:t>
        </w:r>
      </w:hyperlink>
      <w:r>
        <w:rPr>
          <w:sz w:val="20"/>
        </w:rPr>
        <w:t xml:space="preserve"> Таблицы, членами Подкомиссии присваиваются баллы в диапазоне, указанном в </w:t>
      </w:r>
      <w:hyperlink w:history="0" w:anchor="P61" w:tooltip="Таблица">
        <w:r>
          <w:rPr>
            <w:sz w:val="20"/>
            <w:color w:val="0000ff"/>
          </w:rPr>
          <w:t xml:space="preserve">Таблице</w:t>
        </w:r>
      </w:hyperlink>
      <w:r>
        <w:rPr>
          <w:sz w:val="20"/>
        </w:rPr>
        <w:t xml:space="preserve">, в зависимости от того, в какой степени, по мнению члена Подкомиссии, данный показатель (критерий оценки) применим к оцениваемой практике деятельности органов местного самоуправления в области градостроительной политики, обеспечения благоприятной среды жизнедеятельности населения и развития жилищно-коммунального хозяйства (далее - практика);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 показателям (критериям оценки), предусмотренным </w:t>
      </w:r>
      <w:hyperlink w:history="0" w:anchor="P90" w:tooltip="3.1.">
        <w:r>
          <w:rPr>
            <w:sz w:val="20"/>
            <w:color w:val="0000ff"/>
          </w:rPr>
          <w:t xml:space="preserve">пунктами 3.1</w:t>
        </w:r>
      </w:hyperlink>
      <w:r>
        <w:rPr>
          <w:sz w:val="20"/>
        </w:rPr>
        <w:t xml:space="preserve">, </w:t>
      </w:r>
      <w:hyperlink w:history="0" w:anchor="P93" w:tooltip="3.2.">
        <w:r>
          <w:rPr>
            <w:sz w:val="20"/>
            <w:color w:val="0000ff"/>
          </w:rPr>
          <w:t xml:space="preserve">3.2</w:t>
        </w:r>
      </w:hyperlink>
      <w:r>
        <w:rPr>
          <w:sz w:val="20"/>
        </w:rPr>
        <w:t xml:space="preserve">, </w:t>
      </w:r>
      <w:hyperlink w:history="0" w:anchor="P99" w:tooltip="3.4.">
        <w:r>
          <w:rPr>
            <w:sz w:val="20"/>
            <w:color w:val="0000ff"/>
          </w:rPr>
          <w:t xml:space="preserve">3.4</w:t>
        </w:r>
      </w:hyperlink>
      <w:r>
        <w:rPr>
          <w:sz w:val="20"/>
        </w:rPr>
        <w:t xml:space="preserve"> Таблицы, присваиваются баллы в соответствии с долей внебюджетных средств в общей стоимости практики. Показатели (критерии оценки) оцениваются по шкале от 1 до 10 баллов, где 1 шаг (1 балл) соответствует 10% суммы внебюджетных средств. 1 балл означает минимальное значение (10%), 10 баллов - максимальное значение (100%);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 показателям (критериям оценки), предусмотренным </w:t>
      </w:r>
      <w:hyperlink w:history="0" w:anchor="P96" w:tooltip="3.3.">
        <w:r>
          <w:rPr>
            <w:sz w:val="20"/>
            <w:color w:val="0000ff"/>
          </w:rPr>
          <w:t xml:space="preserve">пунктами 3.3</w:t>
        </w:r>
      </w:hyperlink>
      <w:r>
        <w:rPr>
          <w:sz w:val="20"/>
        </w:rPr>
        <w:t xml:space="preserve">, </w:t>
      </w:r>
      <w:hyperlink w:history="0" w:anchor="P113" w:tooltip="5.1.">
        <w:r>
          <w:rPr>
            <w:sz w:val="20"/>
            <w:color w:val="0000ff"/>
          </w:rPr>
          <w:t xml:space="preserve">5.1</w:t>
        </w:r>
      </w:hyperlink>
      <w:r>
        <w:rPr>
          <w:sz w:val="20"/>
        </w:rPr>
        <w:t xml:space="preserve">, </w:t>
      </w:r>
      <w:hyperlink w:history="0" w:anchor="P136" w:tooltip="7.1.">
        <w:r>
          <w:rPr>
            <w:sz w:val="20"/>
            <w:color w:val="0000ff"/>
          </w:rPr>
          <w:t xml:space="preserve">7.1</w:t>
        </w:r>
      </w:hyperlink>
      <w:r>
        <w:rPr>
          <w:sz w:val="20"/>
        </w:rPr>
        <w:t xml:space="preserve">, </w:t>
      </w:r>
      <w:hyperlink w:history="0" w:anchor="P139" w:tooltip="7.2.">
        <w:r>
          <w:rPr>
            <w:sz w:val="20"/>
            <w:color w:val="0000ff"/>
          </w:rPr>
          <w:t xml:space="preserve">7.2</w:t>
        </w:r>
      </w:hyperlink>
      <w:r>
        <w:rPr>
          <w:sz w:val="20"/>
        </w:rPr>
        <w:t xml:space="preserve">, </w:t>
      </w:r>
      <w:hyperlink w:history="0" w:anchor="P146" w:tooltip="8.1.">
        <w:r>
          <w:rPr>
            <w:sz w:val="20"/>
            <w:color w:val="0000ff"/>
          </w:rPr>
          <w:t xml:space="preserve">8.1</w:t>
        </w:r>
      </w:hyperlink>
      <w:r>
        <w:rPr>
          <w:sz w:val="20"/>
        </w:rPr>
        <w:t xml:space="preserve">, </w:t>
      </w:r>
      <w:hyperlink w:history="0" w:anchor="P150" w:tooltip="9.1.">
        <w:r>
          <w:rPr>
            <w:sz w:val="20"/>
            <w:color w:val="0000ff"/>
          </w:rPr>
          <w:t xml:space="preserve">9.1</w:t>
        </w:r>
      </w:hyperlink>
      <w:r>
        <w:rPr>
          <w:sz w:val="20"/>
        </w:rPr>
        <w:t xml:space="preserve">, </w:t>
      </w:r>
      <w:hyperlink w:history="0" w:anchor="P175" w:tooltip="13.3">
        <w:r>
          <w:rPr>
            <w:sz w:val="20"/>
            <w:color w:val="0000ff"/>
          </w:rPr>
          <w:t xml:space="preserve">13.3</w:t>
        </w:r>
      </w:hyperlink>
      <w:r>
        <w:rPr>
          <w:sz w:val="20"/>
        </w:rPr>
        <w:t xml:space="preserve"> Таблицы, в случае положительного ответа присваивается 5 баллов, в случае отрицательного - 0;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 показателям (критериям оценки), предусмотренным </w:t>
      </w:r>
      <w:hyperlink w:history="0" w:anchor="P106" w:tooltip="4.2.">
        <w:r>
          <w:rPr>
            <w:sz w:val="20"/>
            <w:color w:val="0000ff"/>
          </w:rPr>
          <w:t xml:space="preserve">пунктами 4.2</w:t>
        </w:r>
      </w:hyperlink>
      <w:r>
        <w:rPr>
          <w:sz w:val="20"/>
        </w:rPr>
        <w:t xml:space="preserve">, </w:t>
      </w:r>
      <w:hyperlink w:history="0" w:anchor="P109" w:tooltip="4.3.">
        <w:r>
          <w:rPr>
            <w:sz w:val="20"/>
            <w:color w:val="0000ff"/>
          </w:rPr>
          <w:t xml:space="preserve">4.3</w:t>
        </w:r>
      </w:hyperlink>
      <w:r>
        <w:rPr>
          <w:sz w:val="20"/>
        </w:rPr>
        <w:t xml:space="preserve">, </w:t>
      </w:r>
      <w:hyperlink w:history="0" w:anchor="P142" w:tooltip="7.3.">
        <w:r>
          <w:rPr>
            <w:sz w:val="20"/>
            <w:color w:val="0000ff"/>
          </w:rPr>
          <w:t xml:space="preserve">7.3</w:t>
        </w:r>
      </w:hyperlink>
      <w:r>
        <w:rPr>
          <w:sz w:val="20"/>
        </w:rPr>
        <w:t xml:space="preserve"> Таблицы, в случае положительного ответа присваивается 10 баллов, в случае отрицательного - 0;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по показателям (критериям оценки), предусмотренным </w:t>
      </w:r>
      <w:hyperlink w:history="0" w:anchor="P162" w:tooltip="12.1.">
        <w:r>
          <w:rPr>
            <w:sz w:val="20"/>
            <w:color w:val="0000ff"/>
          </w:rPr>
          <w:t xml:space="preserve">пунктами 12.1</w:t>
        </w:r>
      </w:hyperlink>
      <w:r>
        <w:rPr>
          <w:sz w:val="20"/>
        </w:rPr>
        <w:t xml:space="preserve"> - </w:t>
      </w:r>
      <w:hyperlink w:history="0" w:anchor="P165" w:tooltip="12.2.">
        <w:r>
          <w:rPr>
            <w:sz w:val="20"/>
            <w:color w:val="0000ff"/>
          </w:rPr>
          <w:t xml:space="preserve">12.2</w:t>
        </w:r>
      </w:hyperlink>
      <w:r>
        <w:rPr>
          <w:sz w:val="20"/>
        </w:rPr>
        <w:t xml:space="preserve"> Таблицы, присваиваются баллы в соответствии с долей бюджетных или внебюджетных источников в общей стоимости практики (до 50% - 5; 50% и более - 10).</w:t>
      </w:r>
    </w:p>
    <w:p>
      <w:pPr>
        <w:pStyle w:val="0"/>
        <w:jc w:val="both"/>
      </w:pPr>
      <w:r>
        <w:rPr>
          <w:sz w:val="20"/>
        </w:rPr>
      </w:r>
    </w:p>
    <w:bookmarkStart w:id="61" w:name="P61"/>
    <w:bookmarkEnd w:id="61"/>
    <w:p>
      <w:pPr>
        <w:pStyle w:val="0"/>
        <w:jc w:val="right"/>
      </w:pPr>
      <w:r>
        <w:rPr>
          <w:sz w:val="20"/>
        </w:rPr>
        <w:t xml:space="preserve">Таблица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7313"/>
        <w:gridCol w:w="1134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п\п</w:t>
            </w:r>
          </w:p>
        </w:tc>
        <w:tc>
          <w:tcPr>
            <w:tcW w:w="73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 (критерия оценки)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Оценка в баллах</w:t>
            </w:r>
          </w:p>
        </w:tc>
      </w:tr>
      <w:tr>
        <w:tc>
          <w:tcPr>
            <w:gridSpan w:val="3"/>
            <w:tcW w:w="9071" w:type="dxa"/>
          </w:tcPr>
          <w:bookmarkStart w:id="66" w:name="P66"/>
          <w:bookmarkEnd w:id="66"/>
          <w:p>
            <w:pPr>
              <w:pStyle w:val="0"/>
              <w:jc w:val="center"/>
            </w:pPr>
            <w:r>
              <w:rPr>
                <w:sz w:val="20"/>
              </w:rPr>
              <w:t xml:space="preserve">1. Краткое описание ситуации, обусловившей необходимость реализации практики</w:t>
            </w:r>
          </w:p>
        </w:tc>
      </w:tr>
      <w:tr>
        <w:tc>
          <w:tcPr>
            <w:tcW w:w="624" w:type="dxa"/>
          </w:tcPr>
          <w:bookmarkStart w:id="67" w:name="P67"/>
          <w:bookmarkEnd w:id="67"/>
          <w:p>
            <w:pPr>
              <w:pStyle w:val="0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Практика реализована в связи с необходимостью решения конкретной, острой проблемы в области градостроительной политики, обеспечения благоприятной среды жизнедеятельности населения или развития жилищно-коммунального хозяйства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0 - 10</w:t>
            </w:r>
          </w:p>
        </w:tc>
      </w:tr>
      <w:tr>
        <w:tc>
          <w:tcPr>
            <w:tcW w:w="624" w:type="dxa"/>
          </w:tcPr>
          <w:bookmarkStart w:id="70" w:name="P70"/>
          <w:bookmarkEnd w:id="70"/>
          <w:p>
            <w:pPr>
              <w:pStyle w:val="0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Практика реализована в целях повышения качества жизни на территории муниципального образования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0 - 5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 Проблемы, на решение которых была направлена практика</w:t>
            </w:r>
          </w:p>
        </w:tc>
      </w:tr>
      <w:tr>
        <w:tc>
          <w:tcPr>
            <w:tcW w:w="624" w:type="dxa"/>
          </w:tcPr>
          <w:bookmarkStart w:id="74" w:name="P74"/>
          <w:bookmarkEnd w:id="74"/>
          <w:p>
            <w:pPr>
              <w:pStyle w:val="0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Реализованная практика выполнена с целью решения проблемы или комплекса проблем, типичных для ряда российских муниципальных образований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0 - 10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2.2.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Реализованная практика обеспечила решение конкретной задачи в рамках стратегии развития муниципального образования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0 - 5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2.3.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Реализованная практика обеспечила решение проблемы вовлечения населения в процесс принятия решений в области градостроительной политики, обеспечения благоприятной среды жизнедеятельности населения или развития жилищно-коммунального хозяйства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0 - 10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2.4.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Реализованная практика обеспечила улучшение экологической ситуации на территории муниципального образования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0 - 10</w:t>
            </w:r>
          </w:p>
        </w:tc>
      </w:tr>
      <w:tr>
        <w:tc>
          <w:tcPr>
            <w:tcW w:w="624" w:type="dxa"/>
          </w:tcPr>
          <w:bookmarkStart w:id="86" w:name="P86"/>
          <w:bookmarkEnd w:id="86"/>
          <w:p>
            <w:pPr>
              <w:pStyle w:val="0"/>
            </w:pPr>
            <w:r>
              <w:rPr>
                <w:sz w:val="20"/>
              </w:rPr>
              <w:t xml:space="preserve">2.5.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Реализованная практика обеспечила решение проблем инвалидов и других маломобильных групп населения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0 - 5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 Возможности (ресурсы), которые позволили реализовать практику</w:t>
            </w:r>
          </w:p>
        </w:tc>
      </w:tr>
      <w:tr>
        <w:tc>
          <w:tcPr>
            <w:tcW w:w="624" w:type="dxa"/>
          </w:tcPr>
          <w:bookmarkStart w:id="90" w:name="P90"/>
          <w:bookmarkEnd w:id="90"/>
          <w:p>
            <w:pPr>
              <w:pStyle w:val="0"/>
            </w:pPr>
            <w:r>
              <w:rPr>
                <w:sz w:val="20"/>
              </w:rPr>
              <w:t xml:space="preserve">3.1.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Практика реализована с использованием грантов благотворительных организаций и (или) средств общественных организаций, частных пожертвований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0 - 10</w:t>
            </w:r>
          </w:p>
        </w:tc>
      </w:tr>
      <w:tr>
        <w:tc>
          <w:tcPr>
            <w:tcW w:w="624" w:type="dxa"/>
          </w:tcPr>
          <w:bookmarkStart w:id="93" w:name="P93"/>
          <w:bookmarkEnd w:id="93"/>
          <w:p>
            <w:pPr>
              <w:pStyle w:val="0"/>
            </w:pPr>
            <w:r>
              <w:rPr>
                <w:sz w:val="20"/>
              </w:rPr>
              <w:t xml:space="preserve">3.2.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Практика реализована с привлечением средств граждан (самообложение граждан или иная форма привлечения средств)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0 - 10</w:t>
            </w:r>
          </w:p>
        </w:tc>
      </w:tr>
      <w:tr>
        <w:tc>
          <w:tcPr>
            <w:tcW w:w="624" w:type="dxa"/>
          </w:tcPr>
          <w:bookmarkStart w:id="96" w:name="P96"/>
          <w:bookmarkEnd w:id="96"/>
          <w:p>
            <w:pPr>
              <w:pStyle w:val="0"/>
            </w:pPr>
            <w:r>
              <w:rPr>
                <w:sz w:val="20"/>
              </w:rPr>
              <w:t xml:space="preserve">3.3.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Практика реализована с привлечением жителей как исполнителей работ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24" w:type="dxa"/>
          </w:tcPr>
          <w:bookmarkStart w:id="99" w:name="P99"/>
          <w:bookmarkEnd w:id="99"/>
          <w:p>
            <w:pPr>
              <w:pStyle w:val="0"/>
            </w:pPr>
            <w:r>
              <w:rPr>
                <w:sz w:val="20"/>
              </w:rPr>
              <w:t xml:space="preserve">3.4.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Практика реализована с привлечением частных инвестиций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0 - 10</w:t>
            </w:r>
          </w:p>
        </w:tc>
      </w:tr>
      <w:tr>
        <w:tc>
          <w:tcPr>
            <w:gridSpan w:val="3"/>
            <w:tcW w:w="9071" w:type="dxa"/>
          </w:tcPr>
          <w:bookmarkStart w:id="102" w:name="P102"/>
          <w:bookmarkEnd w:id="102"/>
          <w:p>
            <w:pPr>
              <w:pStyle w:val="0"/>
              <w:jc w:val="center"/>
            </w:pPr>
            <w:r>
              <w:rPr>
                <w:sz w:val="20"/>
              </w:rPr>
              <w:t xml:space="preserve">4. Практика имеет инновационный характер</w:t>
            </w:r>
          </w:p>
        </w:tc>
      </w:tr>
      <w:tr>
        <w:tc>
          <w:tcPr>
            <w:tcW w:w="624" w:type="dxa"/>
          </w:tcPr>
          <w:bookmarkStart w:id="103" w:name="P103"/>
          <w:bookmarkEnd w:id="103"/>
          <w:p>
            <w:pPr>
              <w:pStyle w:val="0"/>
            </w:pPr>
            <w:r>
              <w:rPr>
                <w:sz w:val="20"/>
              </w:rPr>
              <w:t xml:space="preserve">4.1.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Практика соответствует аналогичным инновационным практикам, реализованным в Российской Федерации и (или) в мире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0 - 5</w:t>
            </w:r>
          </w:p>
        </w:tc>
      </w:tr>
      <w:tr>
        <w:tc>
          <w:tcPr>
            <w:tcW w:w="624" w:type="dxa"/>
          </w:tcPr>
          <w:bookmarkStart w:id="106" w:name="P106"/>
          <w:bookmarkEnd w:id="106"/>
          <w:p>
            <w:pPr>
              <w:pStyle w:val="0"/>
            </w:pPr>
            <w:r>
              <w:rPr>
                <w:sz w:val="20"/>
              </w:rPr>
              <w:t xml:space="preserve">4.2.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Практика реализована с использованием инновационных технологий и материалов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24" w:type="dxa"/>
          </w:tcPr>
          <w:bookmarkStart w:id="109" w:name="P109"/>
          <w:bookmarkEnd w:id="109"/>
          <w:p>
            <w:pPr>
              <w:pStyle w:val="0"/>
            </w:pPr>
            <w:r>
              <w:rPr>
                <w:sz w:val="20"/>
              </w:rPr>
              <w:t xml:space="preserve">4.3.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Практика реализована с использованием цифровых технологий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 Результаты реализации практики в измеримых величинах</w:t>
            </w:r>
          </w:p>
        </w:tc>
      </w:tr>
      <w:tr>
        <w:tc>
          <w:tcPr>
            <w:tcW w:w="624" w:type="dxa"/>
          </w:tcPr>
          <w:bookmarkStart w:id="113" w:name="P113"/>
          <w:bookmarkEnd w:id="113"/>
          <w:p>
            <w:pPr>
              <w:pStyle w:val="0"/>
            </w:pPr>
            <w:r>
              <w:rPr>
                <w:sz w:val="20"/>
              </w:rPr>
              <w:t xml:space="preserve">5.1.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Указаны результаты реализации практики, которые подтверждаются соответствующими значениями показателей, предусмотренными </w:t>
            </w:r>
            <w:hyperlink w:history="0" w:anchor="P66" w:tooltip="1. Краткое описание ситуации, обусловившей необходимость реализации практики">
              <w:r>
                <w:rPr>
                  <w:sz w:val="20"/>
                  <w:color w:val="0000ff"/>
                </w:rPr>
                <w:t xml:space="preserve">пунктами 1</w:t>
              </w:r>
            </w:hyperlink>
            <w:r>
              <w:rPr>
                <w:sz w:val="20"/>
              </w:rPr>
              <w:t xml:space="preserve"> - </w:t>
            </w:r>
            <w:hyperlink w:history="0" w:anchor="P102" w:tooltip="4. Практика имеет инновационный характер">
              <w:r>
                <w:rPr>
                  <w:sz w:val="20"/>
                  <w:color w:val="0000ff"/>
                </w:rPr>
                <w:t xml:space="preserve">4</w:t>
              </w:r>
            </w:hyperlink>
            <w:r>
              <w:rPr>
                <w:sz w:val="20"/>
              </w:rPr>
              <w:t xml:space="preserve">, </w:t>
            </w:r>
            <w:hyperlink w:history="0" w:anchor="P116" w:tooltip="6. Экономические и (или) социальные эффекты от реализации практики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49" w:tooltip="9. Действия по развертыванию практики (перечень мероприятий, которые были предприняты для того, чтобы реализовать практику)">
              <w:r>
                <w:rPr>
                  <w:sz w:val="20"/>
                  <w:color w:val="0000ff"/>
                </w:rPr>
                <w:t xml:space="preserve">9</w:t>
              </w:r>
            </w:hyperlink>
            <w:r>
              <w:rPr>
                <w:sz w:val="20"/>
              </w:rPr>
              <w:t xml:space="preserve"> показателей (критериев оценки)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3"/>
            <w:tcW w:w="9071" w:type="dxa"/>
          </w:tcPr>
          <w:bookmarkStart w:id="116" w:name="P116"/>
          <w:bookmarkEnd w:id="116"/>
          <w:p>
            <w:pPr>
              <w:pStyle w:val="0"/>
              <w:jc w:val="center"/>
            </w:pPr>
            <w:r>
              <w:rPr>
                <w:sz w:val="20"/>
              </w:rPr>
              <w:t xml:space="preserve">6. Экономические и (или) социальные эффекты от реализации практики</w:t>
            </w:r>
          </w:p>
        </w:tc>
      </w:tr>
      <w:tr>
        <w:tc>
          <w:tcPr>
            <w:tcW w:w="624" w:type="dxa"/>
          </w:tcPr>
          <w:bookmarkStart w:id="117" w:name="P117"/>
          <w:bookmarkEnd w:id="117"/>
          <w:p>
            <w:pPr>
              <w:pStyle w:val="0"/>
            </w:pPr>
            <w:r>
              <w:rPr>
                <w:sz w:val="20"/>
              </w:rPr>
              <w:t xml:space="preserve">6.1.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Реализация практики имеет результатом снижение потребления энергии или других ресурсов на территории данного муниципального образования при сохранении качества жизни населения и улучшение экологической ситуации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0 - 5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6.2.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Реализация практики имеет результатом выявление и поддержку идентичности, сохранение или создание уникальных объектов и пространств, или социальных, культурных, иных практик, присущих данному муниципальному образованию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0 - 5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6.3.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Реализация практики имеет результатом экономию средств бюджета муниципального образования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0 - 5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6.4.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Реализация практики имеет результатом увеличение количества посетителей муниципального образования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0 - 5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6.5.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Реализация практики имеет результатом появление новых частных предприятий в области предоставления услуг и товаров для населения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0 - 10</w:t>
            </w:r>
          </w:p>
        </w:tc>
      </w:tr>
      <w:tr>
        <w:tc>
          <w:tcPr>
            <w:tcW w:w="624" w:type="dxa"/>
          </w:tcPr>
          <w:bookmarkStart w:id="132" w:name="P132"/>
          <w:bookmarkEnd w:id="132"/>
          <w:p>
            <w:pPr>
              <w:pStyle w:val="0"/>
            </w:pPr>
            <w:r>
              <w:rPr>
                <w:sz w:val="20"/>
              </w:rPr>
              <w:t xml:space="preserve">6.6.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Реализация практики имеет результатом создание на территории муниципального образования объектов для осуществления предпринимательской деятельности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0 - 5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 Выгодополучатели</w:t>
            </w:r>
          </w:p>
        </w:tc>
      </w:tr>
      <w:tr>
        <w:tc>
          <w:tcPr>
            <w:tcW w:w="624" w:type="dxa"/>
          </w:tcPr>
          <w:bookmarkStart w:id="136" w:name="P136"/>
          <w:bookmarkEnd w:id="136"/>
          <w:p>
            <w:pPr>
              <w:pStyle w:val="0"/>
            </w:pPr>
            <w:r>
              <w:rPr>
                <w:sz w:val="20"/>
              </w:rPr>
              <w:t xml:space="preserve">7.1.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Прямым получателем выгоды от реализации практики является орган местного самоуправления как орган, осуществляющий управление муниципальным хозяйством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24" w:type="dxa"/>
          </w:tcPr>
          <w:bookmarkStart w:id="139" w:name="P139"/>
          <w:bookmarkEnd w:id="139"/>
          <w:p>
            <w:pPr>
              <w:pStyle w:val="0"/>
            </w:pPr>
            <w:r>
              <w:rPr>
                <w:sz w:val="20"/>
              </w:rPr>
              <w:t xml:space="preserve">7.2.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Прямыми получателями выгоды от реализации практики являются представители определенной группы населения (например, пенсионеры, дети, инвалиды и маломобильные группы населения, ветераны войн, многодетные семьи и другие группы населения)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24" w:type="dxa"/>
          </w:tcPr>
          <w:bookmarkStart w:id="142" w:name="P142"/>
          <w:bookmarkEnd w:id="142"/>
          <w:p>
            <w:pPr>
              <w:pStyle w:val="0"/>
            </w:pPr>
            <w:r>
              <w:rPr>
                <w:sz w:val="20"/>
              </w:rPr>
              <w:t xml:space="preserve">7.3.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Прямыми получателями выгоды являются все жители муниципального образования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 Участники проекта внедрения практики</w:t>
            </w:r>
          </w:p>
        </w:tc>
      </w:tr>
      <w:tr>
        <w:tc>
          <w:tcPr>
            <w:tcW w:w="624" w:type="dxa"/>
          </w:tcPr>
          <w:bookmarkStart w:id="146" w:name="P146"/>
          <w:bookmarkEnd w:id="146"/>
          <w:p>
            <w:pPr>
              <w:pStyle w:val="0"/>
            </w:pPr>
            <w:r>
              <w:rPr>
                <w:sz w:val="20"/>
              </w:rPr>
              <w:t xml:space="preserve">8.1.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Реализованная практика выполнена при активном участии представителей населения, общественных организаций, добровольцев (волонтеров), лиц, осуществляющих предпринимательскую деятельность, в разработке общей идеи, концепции и практики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3"/>
            <w:tcW w:w="9071" w:type="dxa"/>
          </w:tcPr>
          <w:bookmarkStart w:id="149" w:name="P149"/>
          <w:bookmarkEnd w:id="149"/>
          <w:p>
            <w:pPr>
              <w:pStyle w:val="0"/>
              <w:jc w:val="center"/>
            </w:pPr>
            <w:r>
              <w:rPr>
                <w:sz w:val="20"/>
              </w:rPr>
              <w:t xml:space="preserve">9. Действия по развертыванию практики (перечень мероприятий, которые были предприняты для того, чтобы реализовать практику)</w:t>
            </w:r>
          </w:p>
        </w:tc>
      </w:tr>
      <w:tr>
        <w:tc>
          <w:tcPr>
            <w:tcW w:w="624" w:type="dxa"/>
          </w:tcPr>
          <w:bookmarkStart w:id="150" w:name="P150"/>
          <w:bookmarkEnd w:id="150"/>
          <w:p>
            <w:pPr>
              <w:pStyle w:val="0"/>
            </w:pPr>
            <w:r>
              <w:rPr>
                <w:sz w:val="20"/>
              </w:rPr>
              <w:t xml:space="preserve">9.1.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Представлен перечень мероприятий, которые были предприняты для того, чтобы реализовать практику ("дорожная карта")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 Синхронизация мероприятий практики с мероприятиями, реализуемыми на территории муниципального образования в рамках национальных, федеральных проектов (программ), государственных, муниципальных программ (проектов)</w:t>
            </w:r>
          </w:p>
        </w:tc>
      </w:tr>
      <w:tr>
        <w:tc>
          <w:tcPr>
            <w:tcW w:w="624" w:type="dxa"/>
          </w:tcPr>
          <w:bookmarkStart w:id="154" w:name="P154"/>
          <w:bookmarkEnd w:id="154"/>
          <w:p>
            <w:pPr>
              <w:pStyle w:val="0"/>
            </w:pPr>
            <w:r>
              <w:rPr>
                <w:sz w:val="20"/>
              </w:rPr>
              <w:t xml:space="preserve">10.1.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 реализации практики осуществлена синхронизация мероприятий национальных, федеральных проектов (программ), государственных, муниципальных программ (проектов)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0 - 10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 Практика способствует повышению индекса качества городской среды</w:t>
            </w:r>
          </w:p>
        </w:tc>
      </w:tr>
      <w:tr>
        <w:tc>
          <w:tcPr>
            <w:tcW w:w="624" w:type="dxa"/>
          </w:tcPr>
          <w:bookmarkStart w:id="158" w:name="P158"/>
          <w:bookmarkEnd w:id="158"/>
          <w:p>
            <w:pPr>
              <w:pStyle w:val="0"/>
            </w:pPr>
            <w:r>
              <w:rPr>
                <w:sz w:val="20"/>
              </w:rPr>
              <w:t xml:space="preserve">11.1.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Реализация практики способствует росту индекса качества городской среды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0 - 10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 Затраты на реализацию практики</w:t>
            </w:r>
          </w:p>
        </w:tc>
      </w:tr>
      <w:tr>
        <w:tc>
          <w:tcPr>
            <w:tcW w:w="624" w:type="dxa"/>
          </w:tcPr>
          <w:bookmarkStart w:id="162" w:name="P162"/>
          <w:bookmarkEnd w:id="162"/>
          <w:p>
            <w:pPr>
              <w:pStyle w:val="0"/>
            </w:pPr>
            <w:r>
              <w:rPr>
                <w:sz w:val="20"/>
              </w:rPr>
              <w:t xml:space="preserve">12.1.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бюджетных источников в общей стоимости реализации практики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5; 10</w:t>
            </w:r>
          </w:p>
        </w:tc>
      </w:tr>
      <w:tr>
        <w:tc>
          <w:tcPr>
            <w:tcW w:w="624" w:type="dxa"/>
          </w:tcPr>
          <w:bookmarkStart w:id="165" w:name="P165"/>
          <w:bookmarkEnd w:id="165"/>
          <w:p>
            <w:pPr>
              <w:pStyle w:val="0"/>
            </w:pPr>
            <w:r>
              <w:rPr>
                <w:sz w:val="20"/>
              </w:rPr>
              <w:t xml:space="preserve">12.2.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внебюджетных источников в общей стоимости реализации практики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5; 10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 Меры по усовершенствованию реализации практики</w:t>
            </w:r>
          </w:p>
        </w:tc>
      </w:tr>
      <w:tr>
        <w:tc>
          <w:tcPr>
            <w:tcW w:w="624" w:type="dxa"/>
          </w:tcPr>
          <w:bookmarkStart w:id="169" w:name="P169"/>
          <w:bookmarkEnd w:id="169"/>
          <w:p>
            <w:pPr>
              <w:pStyle w:val="0"/>
            </w:pPr>
            <w:r>
              <w:rPr>
                <w:sz w:val="20"/>
              </w:rPr>
              <w:t xml:space="preserve">13.1.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Реализованная практика может быть воспроизведена на территории других муниципальных образований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0 - 10</w:t>
            </w:r>
          </w:p>
        </w:tc>
      </w:tr>
      <w:tr>
        <w:tc>
          <w:tcPr>
            <w:tcW w:w="624" w:type="dxa"/>
          </w:tcPr>
          <w:bookmarkStart w:id="172" w:name="P172"/>
          <w:bookmarkEnd w:id="172"/>
          <w:p>
            <w:pPr>
              <w:pStyle w:val="0"/>
            </w:pPr>
            <w:r>
              <w:rPr>
                <w:sz w:val="20"/>
              </w:rPr>
              <w:t xml:space="preserve">13.2.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Презентационные материалы отличаются наглядностью и высоким качеством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0 - 5</w:t>
            </w:r>
          </w:p>
        </w:tc>
      </w:tr>
      <w:tr>
        <w:tc>
          <w:tcPr>
            <w:tcW w:w="624" w:type="dxa"/>
          </w:tcPr>
          <w:bookmarkStart w:id="175" w:name="P175"/>
          <w:bookmarkEnd w:id="175"/>
          <w:p>
            <w:pPr>
              <w:pStyle w:val="0"/>
            </w:pPr>
            <w:r>
              <w:rPr>
                <w:sz w:val="20"/>
              </w:rPr>
              <w:t xml:space="preserve">13.3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Наличие в заявке сведений о лицах, ответственных за реализацию практики в муниципальном образовании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</w:tr>
    </w:tbl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14" w:tooltip="Приказ Минстроя России от 30.07.2021 N 515/пр &quot;О внесении изменения в методику оценки конкурсных заявок муниципальных образований, представляемых для участия в номинации &quot;Градостроительная политика, обеспечение благоприятной среды жизнедеятельности населения и развитие жилищно-коммунального хозяйства&quot; Всероссийского конкурса &quot;Лучшая муниципальная практика&quot;, утвержденную приказом Министерства строительства и жилищно-коммунального хозяйства Российской Федерации от 6 апреля 2017 г. N 690/пр&quot; (Зарегистрировано 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Минстроя России от 30.07.2021 N 515/пр)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Итоговая сумма баллов по конкурсной заявке рассчитывается по формуле: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38"/>
        </w:rPr>
        <w:drawing>
          <wp:inline distT="0" distB="0" distL="0" distR="0">
            <wp:extent cx="1104900" cy="6096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,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I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- итоговая сумма баллов по i-ой конкурсной заявке;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c - количество членов подкомиссии, оценивших конкурсную заявку;</w:t>
      </w:r>
    </w:p>
    <w:p>
      <w:pPr>
        <w:pStyle w:val="0"/>
        <w:spacing w:before="200" w:line-rule="auto"/>
        <w:ind w:firstLine="540"/>
        <w:jc w:val="both"/>
      </w:pPr>
      <w:r>
        <w:rPr>
          <w:position w:val="-23"/>
        </w:rPr>
        <w:drawing>
          <wp:inline distT="0" distB="0" distL="0" distR="0">
            <wp:extent cx="381000" cy="42989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- сумма баллов, выставленных членами подкомиссии по заявке i-ого муниципального образования по </w:t>
      </w:r>
      <w:hyperlink w:history="0" w:anchor="P54" w:tooltip="4. Показатели (критерии оценки) определяются с учетом следующего:">
        <w:r>
          <w:rPr>
            <w:sz w:val="20"/>
            <w:color w:val="0000ff"/>
          </w:rPr>
          <w:t xml:space="preserve">подпункту "а" пункта 4</w:t>
        </w:r>
      </w:hyperlink>
      <w:r>
        <w:rPr>
          <w:sz w:val="20"/>
        </w:rPr>
        <w:t xml:space="preserve"> настоящей Методики;</w:t>
      </w:r>
    </w:p>
    <w:p>
      <w:pPr>
        <w:pStyle w:val="0"/>
        <w:spacing w:before="200" w:line-rule="auto"/>
        <w:ind w:firstLine="540"/>
        <w:jc w:val="both"/>
      </w:pPr>
      <w:r>
        <w:rPr>
          <w:position w:val="-10"/>
        </w:rPr>
        <w:drawing>
          <wp:inline distT="0" distB="0" distL="0" distR="0">
            <wp:extent cx="342900" cy="2540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- сумма баллов, выставленных членами подкомиссии по заявке i-ого муниципального образования по </w:t>
      </w:r>
      <w:hyperlink w:history="0" w:anchor="P54" w:tooltip="4. Показатели (критерии оценки) определяются с учетом следующего:">
        <w:r>
          <w:rPr>
            <w:sz w:val="20"/>
            <w:color w:val="0000ff"/>
          </w:rPr>
          <w:t xml:space="preserve">подпунктам "б"</w:t>
        </w:r>
      </w:hyperlink>
      <w:r>
        <w:rPr>
          <w:sz w:val="20"/>
        </w:rPr>
        <w:t xml:space="preserve"> - </w:t>
      </w:r>
      <w:hyperlink w:history="0" w:anchor="P54" w:tooltip="4. Показатели (критерии оценки) определяются с учетом следующего:">
        <w:r>
          <w:rPr>
            <w:sz w:val="20"/>
            <w:color w:val="0000ff"/>
          </w:rPr>
          <w:t xml:space="preserve">"д" пункта 4</w:t>
        </w:r>
      </w:hyperlink>
      <w:r>
        <w:rPr>
          <w:sz w:val="20"/>
        </w:rPr>
        <w:t xml:space="preserve"> настоящей Методики.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Муниципальное образование, конкурсной заявке которого присвоено наибольшее количество баллов, признается победителем конкурса.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Минстроя России от 06.04.2017 N 690/пр</w:t>
            <w:br/>
            <w:t>(ред. от 30.07.2021)</w:t>
            <w:br/>
            <w:t>"Об утверждении методики оценки конкурсных заявок мун...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14.04.2023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A1AD6E0626E4C498216B063A103DEEC1DAA62B7F4B8CD79303AEECA84783B4140F1BA1DEFA3B0900CC52C4D698ED7C98817D6530DC693907FW9H" TargetMode = "External"/>
	<Relationship Id="rId8" Type="http://schemas.openxmlformats.org/officeDocument/2006/relationships/hyperlink" Target="consultantplus://offline/ref=EA1AD6E0626E4C498216B063A103DEEC1DA66CB7F9B8CD79303AEECA84783B4140F1BA1DEFA3B0900CC52C4D698ED7C98817D6530DC693907FW9H" TargetMode = "External"/>
	<Relationship Id="rId9" Type="http://schemas.openxmlformats.org/officeDocument/2006/relationships/hyperlink" Target="consultantplus://offline/ref=EA1AD6E0626E4C498216B063A103DEEC1DAA62B7F4B8CD79303AEECA84783B4140F1BA1DEFA3B0900CC52C4D698ED7C98817D6530DC693907FW9H" TargetMode = "External"/>
	<Relationship Id="rId10" Type="http://schemas.openxmlformats.org/officeDocument/2006/relationships/hyperlink" Target="consultantplus://offline/ref=EA1AD6E0626E4C498216B063A103DEEC1DA66CB7F9B8CD79303AEECA84783B4140F1BA1DEFA3B0900CC52C4D698ED7C98817D6530DC693907FW9H" TargetMode = "External"/>
	<Relationship Id="rId11" Type="http://schemas.openxmlformats.org/officeDocument/2006/relationships/hyperlink" Target="consultantplus://offline/ref=EA1AD6E0626E4C498216B063A103DEEC1DA663BEF8BACD79303AEECA84783B4140F1BA1DEFA3B0990FC52C4D698ED7C98817D6530DC693907FW9H" TargetMode = "External"/>
	<Relationship Id="rId12" Type="http://schemas.openxmlformats.org/officeDocument/2006/relationships/hyperlink" Target="consultantplus://offline/ref=EA1AD6E0626E4C498216B063A103DEEC1DA663BEF8BACD79303AEECA84783B4140F1BA1DEFA3B19608C52C4D698ED7C98817D6530DC693907FW9H" TargetMode = "External"/>
	<Relationship Id="rId13" Type="http://schemas.openxmlformats.org/officeDocument/2006/relationships/hyperlink" Target="consultantplus://offline/ref=EA1AD6E0626E4C498216B063A103DEEC1DAA62B7F4B8CD79303AEECA84783B4140F1BA1DEFA3B0910AC52C4D698ED7C98817D6530DC693907FW9H" TargetMode = "External"/>
	<Relationship Id="rId14" Type="http://schemas.openxmlformats.org/officeDocument/2006/relationships/hyperlink" Target="consultantplus://offline/ref=EA1AD6E0626E4C498216B063A103DEEC1DA66CB7F9B8CD79303AEECA84783B4140F1BA1DEFA3B0910AC52C4D698ED7C98817D6530DC693907FW9H" TargetMode = "External"/>
	<Relationship Id="rId15" Type="http://schemas.openxmlformats.org/officeDocument/2006/relationships/image" Target="media/image2.wmf"/>
	<Relationship Id="rId16" Type="http://schemas.openxmlformats.org/officeDocument/2006/relationships/image" Target="media/image3.wmf"/>
	<Relationship Id="rId17" Type="http://schemas.openxmlformats.org/officeDocument/2006/relationships/image" Target="media/image4.wmf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06.04.2017 N 690/пр
(ред. от 30.07.2021)
"Об утверждении методики оценки конкурсных заявок муниципальных образований, представляемых для участия в номинации "Градостроительная политика, обеспечение благоприятной среды жизнедеятельности населения и развитие жилищно-коммунального хозяйства" Всероссийского конкурса "Лучшая муниципальная практика"
(Зарегистрировано в Минюсте России 20.04.2017 N 46443)</dc:title>
  <dcterms:created xsi:type="dcterms:W3CDTF">2023-04-14T07:22:57Z</dcterms:created>
</cp:coreProperties>
</file>