
<file path=[Content_Types].xml><?xml version="1.0" encoding="utf-8"?>
<Types xmlns="http://schemas.openxmlformats.org/package/2006/content-types">
  <Default Extension="svg" ContentType="image/svg+xml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8"/>
        <w:jc w:val="right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 N 1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 приказу Федерального агентства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делам национальностей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 27.03.2026 N 43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МЕТОДИКА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ОЦЕНКИ КОНКУРСНЫХ ЗАЯВОК МУНИЦИПАЛЬНЫХ ОБРАЗОВАНИЙ,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ПРЕДСТАВЛЯЕМЫХ ДЛЯ УЧАСТИЯ ВО ВСЕРОССИЙСКОМ КОНКУРСЕ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"ЛУЧШАЯ МУНИЦИПАЛЬНАЯ ПРАКТИКА" ПО НОМИНАЦИИ "УКРЕПЛЕНИЕ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МЕЖНАЦИОНАЛЬНОГО МИРА И СОГЛАСИЯ, РЕАЛИЗАЦИЯ ИНЫХ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МЕРОПРИЯТИЙ В СФЕРЕ НАЦИОНАЛЬНОЙ ПОЛИТИКИ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МУНИЦИПАЛЬНОМ УРОВНЕ"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Оценка конкурсных заявок муниципальных образований, представляемых для участия во Всероссийском конкурсе "Лучшая муниципальная практика" по номинации "Укрепление межнационального мира и со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гласия, реализация иных мероприятий в сфере национальной политики на муниципальном уровне", осуществляется федеральной конкурсной комиссией по организации и проведению Всероссийского конкурса "Лучшая муниципальная практика" (далее соответственно - конкурс,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конкурсная заявка, федеральная конкурсная комиссия, практика) в целях последовательного выявления и отбора примеров лучшей муниципальной практики на региональном и федеральном этапах конкурса путем присвоения количества баллов согласно настоящей Методике.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Конкурсная заявка подается на каждого участника конкурса и оформляется по форме, содержащейся в </w:t>
      </w:r>
      <w:hyperlink w:tooltip="КОНКУРСНАЯ ЗАЯВКА" w:anchor="P179" w:history="1">
        <w:r>
          <w:rPr>
            <w:rFonts w:ascii="Times New Roman" w:hAnsi="Times New Roman" w:eastAsia="Times New Roman" w:cs="Times New Roman"/>
            <w:color w:val="0000ff"/>
            <w:sz w:val="28"/>
            <w:szCs w:val="28"/>
          </w:rPr>
          <w:t xml:space="preserve">приложении N 2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к настоящему приказу (далее - форма). К конкурсной заявке прилагаются "Сведения об основных характеристиках муниципальной практики для оценки конкурсной заявки" (</w:t>
      </w:r>
      <w:hyperlink w:tooltip="Сведения" w:anchor="P248" w:history="1">
        <w:r>
          <w:rPr>
            <w:rFonts w:ascii="Times New Roman" w:hAnsi="Times New Roman" w:eastAsia="Times New Roman" w:cs="Times New Roman"/>
            <w:color w:val="0000ff"/>
            <w:sz w:val="28"/>
            <w:szCs w:val="28"/>
          </w:rPr>
          <w:t xml:space="preserve">приложение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к форме) и презентация.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"Сведения об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основных характеристиках муниципальной практики для оценки конкурсной заявки" должны содержать основные сведения по муниципальному образованию, описание муниципальной практики и оценки муниципальной практики в соответствии с указанными в форме параметрами.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Презентация конкурсной заявки готовится в свободной форме. В ней должны быть наиболее полно раскрыты примеры мероприятий в сфере реализации в муниципальном образовании государственной национальной политики Российской Федерации и методика их проведения.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ходе практики должны быть осуществлены одно мероприятие или комплекс мероприятий, предпринятых для решения какой-либо задачи, которые должны быть проведены в течение двух календарных лет до даты подачи конкурсной заявки.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3. Оценка конкурсных заявок на региональном этапе конкурса (К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рег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 рассчитывается исполнит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ельным органом субъекта Российской Федерации, организационным комитетом или иным коллегиальным органом, образованным для проведения регионального этапа конкурса в соответствующем субъекте Российской Федерации (далее - региональный организатор), по формуле: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рег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= П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x К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+ П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x К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+ П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x К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+ П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+ П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+ П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где: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рег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- оценка конкурсной заявки на региональном этапе,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П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П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П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П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П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- значения показателей, предусмотренных соответственно </w:t>
      </w:r>
      <w:hyperlink w:tooltip="1" w:anchor="P110" w:history="1">
        <w:r>
          <w:rPr>
            <w:rFonts w:ascii="Times New Roman" w:hAnsi="Times New Roman" w:eastAsia="Times New Roman" w:cs="Times New Roman"/>
            <w:color w:val="0000ff"/>
            <w:sz w:val="28"/>
            <w:szCs w:val="28"/>
          </w:rPr>
          <w:t xml:space="preserve">пунктами 1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- </w:t>
      </w:r>
      <w:hyperlink w:tooltip="6." w:anchor="P161" w:history="1">
        <w:r>
          <w:rPr>
            <w:rFonts w:ascii="Times New Roman" w:hAnsi="Times New Roman" w:eastAsia="Times New Roman" w:cs="Times New Roman"/>
            <w:color w:val="0000ff"/>
            <w:sz w:val="28"/>
            <w:szCs w:val="28"/>
          </w:rPr>
          <w:t xml:space="preserve">6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перечня параметров оценки конкурсных заявок муниципальных образований, представляемых для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участия во Всероссийском конкурсе "Лучшая муниципальная практика" по номинации "Укрепление межнационального мира и согласия, реализация иных мероприятий в сфере национальной политики на муниципальном уровне", приведенных в приложении к настоящей Методике,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- К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- коэффициенты показателей, предусмотренные </w:t>
      </w:r>
      <w:hyperlink w:tooltip="ПАРАМЕТРЫ" w:anchor="P99" w:history="1">
        <w:r>
          <w:rPr>
            <w:rFonts w:ascii="Times New Roman" w:hAnsi="Times New Roman" w:eastAsia="Times New Roman" w:cs="Times New Roman"/>
            <w:color w:val="0000ff"/>
            <w:sz w:val="28"/>
            <w:szCs w:val="28"/>
          </w:rPr>
          <w:t xml:space="preserve">приложением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к настоящей Методике. Значение показателей определяется в соответствии с параметрами, предусмотренными </w:t>
      </w:r>
      <w:hyperlink w:tooltip="ПАРАМЕТРЫ" w:anchor="P99" w:history="1">
        <w:r>
          <w:rPr>
            <w:rFonts w:ascii="Times New Roman" w:hAnsi="Times New Roman" w:eastAsia="Times New Roman" w:cs="Times New Roman"/>
            <w:color w:val="0000ff"/>
            <w:sz w:val="28"/>
            <w:szCs w:val="28"/>
          </w:rPr>
          <w:t xml:space="preserve">приложением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к настоящей Методике.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 Для представления в федеральную конкурсную комиссию региональным организатором по каждой категории участников конкурса отбираются конкурсные заявки, набравшие наибольшее количество баллов в соответствии с </w:t>
      </w:r>
      <w:hyperlink w:tooltip="3. Оценка конкурсных заявок на региональном этапе конкурса (Крег) рассчитывается исполнительным органом субъекта Российской Федерации, организационным комитетом или иным коллегиальным органом, образованным для проведения регионального этапа конкурса в соответствующем субъекте Российской Федерации (далее - региональный организатор), по формуле:" w:anchor="P50" w:history="1">
        <w:r>
          <w:rPr>
            <w:rFonts w:ascii="Times New Roman" w:hAnsi="Times New Roman" w:eastAsia="Times New Roman" w:cs="Times New Roman"/>
            <w:color w:val="0000ff"/>
            <w:sz w:val="28"/>
            <w:szCs w:val="28"/>
          </w:rPr>
          <w:t xml:space="preserve">пунктом 3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настоящей Методики.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Конкурсная заявка и "Сведения об основных характеристиках муниципальной практики для оценки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конкурсной заявки", представляемые по результатам регионального этапа конкурса в федеральную конкурсную комиссию, визируются должностным лицом, ответственным в субъекте Российской Федерации за предоставление конкурсной заявки на федеральный этап конкурса.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 В случае если конкурсная заявка направляется в федеральную конкурсную комиссию Ассоциацией "Всероссийская ассоциация развития местного самоуправления" в порядке, предусмотренном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пунктом 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Положения о Всероссийском конкурсе "Лучшая муниципальная практика", утвержденного постановлением Правительства Российской Федерации от 18 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вгуста 2016 г. N 815, конкурсная заявка и "Сведения об основных характеристиках муниципальной практики для оценки конкурсной заявки" визируются должностным лицом указанной некоммерческой организации, уполномоченным действовать от ее имени без доверенности.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6. Оценка конкурсных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заявок, поступивших в федеральную конкурсную комиссию по номинации "Укрепление межнационального мира и согласия, реализация иных мероприятий в сфере национальной политики на муниципальном уровне" осуществляется членами ее подкомиссии (далее - подкомиссия).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7. Подкомиссия осуществляет оценку конкурсных заявок по формулам, предусмотренным </w:t>
      </w:r>
      <w:hyperlink w:tooltip="3. Оценка конкурсных заявок на региональном этапе конкурса (Крег) рассчитывается исполнительным органом субъекта Российской Федерации, организационным комитетом или иным коллегиальным органом, образованным для проведения регионального этапа конкурса в соответствующем субъекте Российской Федерации (далее - региональный организатор), по формуле:" w:anchor="P50" w:history="1">
        <w:r>
          <w:rPr>
            <w:rFonts w:ascii="Times New Roman" w:hAnsi="Times New Roman" w:eastAsia="Times New Roman" w:cs="Times New Roman"/>
            <w:color w:val="0000ff"/>
            <w:sz w:val="28"/>
            <w:szCs w:val="28"/>
          </w:rPr>
          <w:t xml:space="preserve">пунктом 3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настоящей Методики, по убыванию количества набранных баллов в зависимости от категории участников конкурса.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8. Оценка конкурсных заявок на федеральном этапе конкурса осуществляется в отношении 10 конкурсных заявок в каждой категории участников конкурса, набравших в соответствии с </w:t>
      </w:r>
      <w:hyperlink w:tooltip="3. Оценка конкурсных заявок на региональном этапе конкурса (Крег) рассчитывается исполнительным органом субъекта Российской Федерации, организационным комитетом или иным коллегиальным органом, образованным для проведения регионального этапа конкурса в соответствующем субъекте Российской Федерации (далее - региональный организатор), по формуле:" w:anchor="P50" w:history="1">
        <w:r>
          <w:rPr>
            <w:rFonts w:ascii="Times New Roman" w:hAnsi="Times New Roman" w:eastAsia="Times New Roman" w:cs="Times New Roman"/>
            <w:color w:val="0000ff"/>
            <w:sz w:val="28"/>
            <w:szCs w:val="28"/>
          </w:rPr>
          <w:t xml:space="preserve">пунктами 3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и </w:t>
      </w:r>
      <w:hyperlink w:tooltip="6. Оценка конкурсных заявок, поступивших в федеральную конкурсную комиссию по номинации &quot;Укрепление межнационального мира и согласия, реализация иных мероприятий в сфере национальной политики на муниципальном уровне&quot; осуществляется членами ее подкомиссии (далее - подкомиссия)." w:anchor="P61" w:history="1">
        <w:r>
          <w:rPr>
            <w:rFonts w:ascii="Times New Roman" w:hAnsi="Times New Roman" w:eastAsia="Times New Roman" w:cs="Times New Roman"/>
            <w:color w:val="0000ff"/>
            <w:sz w:val="28"/>
            <w:szCs w:val="28"/>
          </w:rPr>
          <w:t xml:space="preserve">6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настоящей Методики наибольшее количество баллов, и рассчитывается по формуле: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фед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= 0,8 x К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рег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+ 0,2 x О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э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где О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э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- значение экспертной оценки конкурсной заявки.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9. Экспертная оценка осуществляется в соответствии с экспертными мнениями простого большинства членов подкомиссии следующим образом: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position w:val="-32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71550" cy="5600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649407" name="Picture 1"/>
                        <pic:cNvPicPr/>
                        <pic:nvPr/>
                      </pic:nvPicPr>
                      <pic:blipFill>
                        <a:blip r:embed="rId8">
                          <a:extLst>
                            <a:ext uri="{96DAC541-7B7A-43D3-8B79-37D633B846F1}">
                              <asvg:svgBlip xmlns:asvg="http://schemas.microsoft.com/office/drawing/2016/SVG/main" r:embed="rId9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971550" cy="560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76.50pt;height:44.10pt;mso-wrap-distance-left:0.00pt;mso-wrap-distance-top:0.00pt;mso-wrap-distance-right:0.00pt;mso-wrap-distance-bottom:0.00pt;" stroked="f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где: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N - общее число опросных листов, заполненных членами подкомиссии;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P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i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- значение экспертной оценки конкурсной заявки i-м членом подкомиссии (от 1 до 10 баллов), при этом лучшей, по мнению i-го члена подкомиссии, конкурсной заявке присваивается наибольшее количество баллов.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Выставление экспертной оценки осуществляется членами подкомиссии после ознакомления с конкурсной заявкой практики и приложениями к ней.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10. При выставлении экспертной оценки членами подкомиссии учитываются следующие факторы: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а) исходные предпосылки реализации практики и принципиальные подходы, избранные при разработке и внедрении практики в муниципальном образовании;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б) уникальные преимущества и сильные стороны практики, выделяющие ее из ряда подобных;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в) возможность повторения (тиражирования) практики в других муниципальных образованиях.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11. По каждой категории участников конкурса определяется по 5 победителей конкурса, набравших наибольшее количество баллов в соответствии с </w:t>
      </w:r>
      <w:hyperlink w:tooltip="8. Оценка конкурсных заявок на федеральном этапе конкурса осуществляется в отношении 10 конкурсных заявок в каждой категории участников конкурса, набравших в соответствии с пунктами 3 и 6 настоящей Методики наибольшее количество баллов, и рассчитывается по формуле:" w:anchor="P63" w:history="1">
        <w:r>
          <w:rPr>
            <w:rFonts w:ascii="Times New Roman" w:hAnsi="Times New Roman" w:eastAsia="Times New Roman" w:cs="Times New Roman"/>
            <w:color w:val="0000ff"/>
            <w:sz w:val="28"/>
            <w:szCs w:val="28"/>
          </w:rPr>
          <w:t xml:space="preserve">пунктом 8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настоящей Методики, среди которых распределяются первое - пятое места победителей конкурса.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jc w:val="right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 Методике оценки конкурсных заявок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муниципальных образований, представляемых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для участия во Всероссийском конкурсе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"Лучшая муниципальная практика"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номинации "Укрепление межнационального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мира и согласия, реализация иных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мероприятий в сфере национальной политики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муниципальном уровне", утвержденной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приказом Федерального агентства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делам национальностей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 27.03.2026 N 43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ПАРАМЕТРЫ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ОЦЕНКИ КОНКУРСНЫХ ЗАЯВОК МУНИЦИПАЛЬНЫХ ОБРАЗОВАНИЙ,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ПРЕДСТАВЛЯЕМЫХ ДЛЯ УЧАСТИЯ ВО ВСЕРОССИЙСКОМ КОНКУРСЕ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"ЛУЧШАЯ МУНИЦИПАЛЬНАЯ ПРАКТИКА" ПО НОМИНАЦИИ "УКРЕПЛЕНИЕ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МЕЖНАЦИОНАЛЬНОГО МИРА И СОГЛАСИЯ, РЕАЛИЗАЦИЯ ИНЫХ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МЕРОПРИЯТИЙ В СФЕРЕ НАЦИОНАЛЬНОЙ ПОЛИТИКИ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МУНИЦИПАЛЬНОМ УРОВНЕ"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6"/>
        <w:gridCol w:w="2834"/>
        <w:gridCol w:w="5669"/>
      </w:tblGrid>
      <w:tr>
        <w:tblPrEx/>
        <w:trPr/>
        <w:tc>
          <w:tcPr>
            <w:tcW w:w="566" w:type="dxa"/>
            <w:textDirection w:val="lrTb"/>
            <w:noWrap w:val="false"/>
          </w:tcPr>
          <w:p>
            <w:pPr>
              <w:pStyle w:val="8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N п/п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834" w:type="dxa"/>
            <w:textDirection w:val="lrTb"/>
            <w:noWrap w:val="false"/>
          </w:tcPr>
          <w:p>
            <w:pPr>
              <w:pStyle w:val="8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Параметр оценки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5669" w:type="dxa"/>
            <w:textDirection w:val="lrTb"/>
            <w:noWrap w:val="false"/>
          </w:tcPr>
          <w:p>
            <w:pPr>
              <w:pStyle w:val="8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Значение параметра оценки (П)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6" w:type="dxa"/>
            <w:vMerge w:val="restart"/>
            <w:textDirection w:val="lrTb"/>
            <w:noWrap w:val="false"/>
          </w:tcPr>
          <w:p>
            <w:pPr>
              <w:pStyle w:val="8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834" w:type="dxa"/>
            <w:vMerge w:val="restart"/>
            <w:textDirection w:val="lrTb"/>
            <w:noWrap w:val="false"/>
          </w:tcPr>
          <w:p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Укрепление общероссийской гражданской идентичности на основе объединяющей роли традиционных российских духовно-нравственных и культурно-исторических ценностей: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 защита, поддержка и развитие русского языка как государственного языка Российской Федерации, как языка государствообразующего народа и как родного языка, а также продвижение русского языка как языка межнационального общения;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 формирование у детей и молодежи на всех этапах образовательного и воспитательного процессов гражданского самосознания, представлений о единстве многонационального народа Российской Федерации (российской нации), воспитанию патриотизма;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 сохранение и развитие культуры межнациональных (межэтнических) отношений, защита исторической правды и исторической памяти, традиционных российских духовно-нравственных и культурно-исторических ценностей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none" w:color="000000" w:sz="4" w:space="0"/>
            </w:tcBorders>
            <w:tcW w:w="5669" w:type="dxa"/>
            <w:textDirection w:val="lrTb"/>
            <w:noWrap w:val="false"/>
          </w:tcPr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bscript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= 1,2 x (</w:t>
            </w:r>
            <w:hyperlink w:tooltip="1.1.1. Проведены культурные, образовательные и научно-просветительские мероприятия, направленные на укрепление позиций русского языка, в том числе в информационно-телекоммуникационной сети &quot;Интернет&quot; (да = 10 баллов, нет = 0 баллов)." w:anchor="P116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1.1.1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1.1.2. Оказана поддержка переводу на русский язык произведений, созданных на языках народов России, их изданию и распространению (да = 10 баллов, нет = 0 баллов)." w:anchor="P117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1.1.2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1.2.1. Проведены мероприятия, посвященные государственным праздникам Российской Федерации, памятным датам и памятным дням, формирующие у детей и молодежи чувство общности, принадлежности к истории страны и ее достижениям (да = 10 баллов, нет = 0 баллов)." w:anchor="P118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1.2.1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1.2.2. Организовано посещение детьми и молодежью объектов культурного наследия (памятников истории и культуры) народов Российской Федерации, памятных мест, городов-героев, городов воинской славы и трудовой доблести (да = 10 баллов, нет = 0 баллов)." w:anchor="P119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1.2.2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1.2.3. Реализованы проекты, направленные на сближение поколений и передачу традиционных российских духовно-нравственных ценностей от старших поколений младшим, на укрепление гражданского единства, приобщение молодежи к культуре и традициям народов России (да = 10 баллов, нет = 0 баллов)." w:anchor="P120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1.2.3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1.2.4. Проведены мероприятия, направленные на противодействие распространению ксенофобии, идеологий нацизма, экстремизма и терроризма среди детей и молодежи (да = 10 баллов, нет = 0 баллов)." w:anchor="P121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1.2.4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1.3.1. Проведены мероприятия, направленные на утверждение идей патриотизма, служения Отечеству и ответственности за его судьбу, исторического гражданского единства и дружбы народов, межнационального (межэтнического) согласия (да = 10 баллов, нет = 0 баллов)." w:anchor="P122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1.3.1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1.3.2. Проведены мероприятия, направленные на распространение в обществе установок неприятия и недопущения пропаганды и оправдания неонацизма, расизма, экстремизма и ксенофобии, национальной исключительности (да = 10 баллов, нет = 0 баллов)." w:anchor="P123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1.3.2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1.3.3. Проведены мероприятия, посвященные значимым событиям истории России, включая историю государствообразующего русского народа и других народов России, предупреждение и противодействие фальсификации истории (да = 10 баллов, нет = 0 баллов)." w:anchor="P124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1.3.3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1.3.4. Реализованы проекты, направленные на сохранение и укрепление традиционных российских духовно-нравственных ценностей как основы общероссийской гражданской идентичности (гражданского самосознания) и российской самобытности, межкультурного и межнационального (межэтнического) взаимодействия (да = 10 баллов, нет = 0 баллов)." w:anchor="P125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1.3.4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.) = &lt;...&gt; (здесь и далее вместо обозначения "&lt;...&gt;" указываются значения параметров оценки), где: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</w:tcBorders>
            <w:tcW w:w="5669" w:type="dxa"/>
            <w:textDirection w:val="lrTb"/>
            <w:noWrap w:val="false"/>
          </w:tcPr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1.1.1. Проведены культурные, образовательные и научно-просветительские мероприятия, направленные на укрепление позиций русского языка, в том числе в информационно-телекоммуникационной сети "Интернет"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1.1.2. Оказана поддержка переводу на русский язык произведений, созданных на языках народов России, их изданию и распространению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1.2.1. Проведены мероприятия, посвященные государственным праздникам Российской Федерации, памятным датам и памятным дням, формирующие у детей и молодежи чувство общности, принадлежности к истории страны и ее достижениям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1.2.2. Организовано посещение детьми и молодежью объектов культурного наследия (памятников истории и культуры) народов Российской Федерации, памятных мест, городов-героев, городов воинской славы и трудовой доблести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1.2.3. Реализованы проекты, напр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авленные на сближение поколений и передачу традиционных российских духовно-нравственных ценностей от старших поколений младшим, на укрепление гражданского единства, приобщение молодежи к культуре и традициям народов России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1.2.4. Проведены мероприятия, направленные на противодействие распространению ксенофобии, идеологий нацизма, экстремизма и терроризма среди детей и молодежи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3.1. Проведены мероприятия, направленные на утверждение идей патриотизма, служения Отечеству и ответственности за его судьбу, исторического гражданского единства и дружбы народов, межнационального (межэтнического) согласия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1.3.2. Проведены мероприятия, направленные на распространение в обществе установок неприятия и недопущения пропаганды и оправдания неонацизма, расизма, экстремизма и ксенофобии, национальной исключительности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1.3.3. Проведены мероприятия, посвященные значимым событиям истории России, включая историю государствообразующего русского народа и других народов России, предупреждение и противодействие фальсификации истории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1.3.4. Реализованы проекты, направленные на сохранение и укрепление трад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иционных российских духовно-нравственных ценностей как основы общероссийской гражданской идентичности (гражданского самосознания) и российской самобытности, межкультурного и межнационального (межэтнического) взаимодействия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6" w:type="dxa"/>
            <w:vMerge w:val="restart"/>
            <w:textDirection w:val="lrTb"/>
            <w:noWrap w:val="false"/>
          </w:tcPr>
          <w:p>
            <w:pPr>
              <w:pStyle w:val="8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834" w:type="dxa"/>
            <w:vMerge w:val="restart"/>
            <w:textDirection w:val="lrTb"/>
            <w:noWrap w:val="false"/>
          </w:tcPr>
          <w:p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Сохранение и поддержка этнокультурного и языкового многообразия Российской Федерации: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 этнокультурное и духовное развитие народов Российской Федерации;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 укрепление объединяющей роли русского народа как государствообразующего народа;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 сохранение самобытной культуры, традиционного образа жизни и поддержка традиционной хозяйственной деятельности коренных малочисленных народов Российской Федерации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none" w:color="000000" w:sz="4" w:space="0"/>
            </w:tcBorders>
            <w:tcW w:w="5669" w:type="dxa"/>
            <w:textDirection w:val="lrTb"/>
            <w:noWrap w:val="false"/>
          </w:tcPr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bscript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= 0,8 x (</w:t>
            </w:r>
            <w:hyperlink w:tooltip="2.1.1. Проведены мероприятия, способствующие созданию условий для использования, сохранения и развития языков народов Российской Федерации, а также изучению родного языка и других языков народов Российской Федерации (да = 10 баллов, нет = 0 баллов)." w:anchor="P132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2.1.1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2.1.2. Проведены мероприятия, способствующие сохранению и популяризации нематериального этнокультурного достояния Российской Федерации, народного художественного творчества, сохранению и развитию народных промыслов и ремесел (да = 10 баллов, нет = 0 баллов)." w:anchor="P133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2.1.2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2.1.3. Проведены мероприятия, направленные на популяризацию и распространение произведений литературы и искусства народов Российской Федерации, организованы художественные выставки, фестивали, конкурсы, гастроли творческих коллективов и другие мероприятия в области культуры (да = 10 баллов, нет = 0 баллов)." w:anchor="P134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2.1.3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2.1.4. Проведены мероприятия, способствующие развитию национальных видов спорта (да = 10 баллов, нет = 0 баллов)." w:anchor="P135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2.1.4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2.1.5. Разработаны туристские маршруты и экскурсионные программы, популяризирующие этнокультурное многообразие России и включающие в себя посещение музеев и объектов культурного наследия (памятников истории и культуры) народов Российской Федерации (да = 10 баллов, нет = 0 баллов)." w:anchor="P136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2.1.5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2.2.1. Обеспечены благоприятные условия для сохранения и развития культуры русского народа (да = 10 баллов, нет = 0 баллов)." w:anchor="P137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2.2.1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2.2.2. Реализованы проекты в области сохранения и развития нематериального этнокультурного достояния русского народа (да = 10 баллов, нет = 0 баллов)." w:anchor="P138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2.2.2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2.2.3. Проведены фестивали, конкурсы, выставки, ярмарки, праздники, творческие лаборатории, форумы, иные мероприятия, направленные на сохранение и развитие культуры русского народа (да = 10 баллов, нет = 0 баллов)." w:anchor="P139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2.2.3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2.2.4. Действуют профессиональные и любительские коллективы народного творчества, способствующие популяризации культуры русского народа (да = 10 баллов, нет = 0 баллов)." w:anchor="P140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2.2.4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2.2.5. В мероприятиях, посвященных русской культуре и литературе, участвуют постоянно проживающие в Российской Федерации иностранные граждане (да = 10 баллов, нет = 0 баллов)." w:anchor="P141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2.2.5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2.3.1. Оказана поддержка традиционной хозяйственной деятельности и промыслов коренных малочисленных народов Российской Федерации (да = 10 баллов, нет = 0 баллов)." w:anchor="P142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2.3.1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2.3.2. Проведены мероприятия, направленные на сохранение культуры, языков и традиций коренных малочисленных народов Российской Федерации (да = 10 баллов, нет = 0 баллов)." w:anchor="P143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2.3.2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.) = &lt;...&gt;, где: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</w:tcBorders>
            <w:tcW w:w="5669" w:type="dxa"/>
            <w:textDirection w:val="lrTb"/>
            <w:noWrap w:val="false"/>
          </w:tcPr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2.1.1. Проведены мероприятия, способствующие созданию условий для использования, сохранения и развития языков народов Российской Федерации, а также изучению родного языка и других языков народов Российской Федерации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1.2. Проведены мероприятия, способствующие сохранению и популяризации нематериального этнокультурного достояния Российской Федерации, народного художественного творчества, сохранению и развитию народных промыслов и ремесел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2.1.3. Проведены мероприятия, направленные на популя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ризацию и распространение произведений литературы и искусства народов Российской Федерации, организованы художественные выставки, фестивали, конкурсы, гастроли творческих коллективов и другие мероприятия в области культуры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2.1.4. Проведены мероприятия, способствующие развитию национальных видов спорта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2.1.5. Разработаны турист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ские маршруты и экскурсионные программы, популяризирующие этнокультурное многообразие России и включающие в себя посещение музеев и объектов культурного наследия (памятников истории и культуры) народов Российской Федерации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2.2.1. Обеспечены благоприятные условия для сохранения и развития культуры русского народа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2.2.2. Реализованы проекты в области сохранения и развития нематериального этнокультурного достояния русского народа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2.2.3. Проведены фестивали, конкурсы, выставки, ярмарки, праздники, творческие лаборатории, форумы, иные мероприятия, направленные на сохранение и развитие культуры русского народа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2.2.4. Действуют профессиональные и любительские коллективы народного творчества, способствующие популяризации культуры русского народа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2.2.5. В мероприятиях, посвященных русской культуре и литературе, участвуют постоянно проживающие в Российской Федерации иностранные граждане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2.3.1. Оказана поддержка традиционной хозяйственной деятельности и промыслов коренных малочисленных народов Российской Федерации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2.3.2. Проведены мероприятия, направленные на сохранение культуры, языков и традиций коренных малочисленных народов Российской Федерации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6" w:type="dxa"/>
            <w:vMerge w:val="restart"/>
            <w:textDirection w:val="lrTb"/>
            <w:noWrap w:val="false"/>
          </w:tcPr>
          <w:p>
            <w:pPr>
              <w:pStyle w:val="8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834" w:type="dxa"/>
            <w:vMerge w:val="restart"/>
            <w:textDirection w:val="lrTb"/>
            <w:noWrap w:val="false"/>
          </w:tcPr>
          <w:p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Обеспечение межнационального (межэтнического) и межрелигиозного согласия, противодействие экстремизму и возникновению конфликтов на национальной (этнической) и (или) религиозной почве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none" w:color="000000" w:sz="4" w:space="0"/>
            </w:tcBorders>
            <w:tcW w:w="5669" w:type="dxa"/>
            <w:textDirection w:val="lrTb"/>
            <w:noWrap w:val="false"/>
          </w:tcPr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bscript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= 1,1 x (</w:t>
            </w:r>
            <w:hyperlink w:tooltip="3.1. Проведены просветительские мероприятия, направленные на предупреждение экстремистских, в том числе сепаратистских проявлений, распространения религиозного, национального радикализма (да = 10 баллов, нет = 0 баллов)." w:anchor="P147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3.1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3.2. Проведены мероприятия для адаптации иностранных граждан и их несовершеннолетних детей, способствующие успешному освоению ими русского языка; усвоению общепризнанных в российском обществе норм поведения, формированию у них присущих российскому обществу правосознания и правовой культуры, приобщению их к традиционным российским духовно-нравственным ценностям (да = 10 баллов, нет = 0 баллов)." w:anchor="P148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3.2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3.3. В проведение мероприятий по укреплению гражданского единства, гармонизации межнациональных (межэтнических) отношений и профилактике экстремизма, предупреждению конфликтов на национальной (этнической) и (или) религиозной почве вовлечены институты гражданского общества, в том числе молодежные и детские общественные объединения (да = 10 баллов, нет = 0 баллов)." w:anchor="P149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3.3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3.4. При органах местного самоуправления действуют общественные советы либо иные консультативные органы по укреплению общероссийской гражданской идентичности (гражданского самосознания), гармонизации межнациональных (межэтнических) и межрелигиозных отношений, содействию адаптации иностранных граждан в Российской Федерации (да = 10 баллов, нет = 0 баллов)." w:anchor="P150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3.4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.) = &lt;...&gt;, где: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</w:tcBorders>
            <w:tcW w:w="5669" w:type="dxa"/>
            <w:textDirection w:val="lrTb"/>
            <w:noWrap w:val="false"/>
          </w:tcPr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3.1. Проведены просветительские мероприятия, направленные на предупреждение экстремистских, в том числе сепаратистских проявлений, распространения религиозного, национального радикализма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3.2. Проведены мероприятия для адаптации иностранных граждан и их несовершеннолетних детей, способствующие успешному освоению ими русского 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зыка; усвоению общепризнанных в российском обществе норм поведения, формированию у них присущих российскому обществу правосознания и правовой культуры, приобщению их к традиционным российским духовно-нравственным ценностям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3.3. В проведение мероприятий по укреплению гражданского единства, гармонизации межнациональных (межэтнически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х) отношений и профилактике экстремизма, предупреждению конфликтов на национальной (этнической) и (или) религиозной почве вовлечены институты гражданского общества, в том числе молодежные и детские общественные объединения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3.4. При органах местного самоуправления действуют общественные советы либо иные консультативные орга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ны по укреплению общероссийской гражданской идентичности (гражданского самосознания), гармонизации межнациональных (межэтнических) и межрелигиозных отношений, содействию адаптации иностранных граждан в Российской Федерации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6" w:type="dxa"/>
            <w:vMerge w:val="restart"/>
            <w:textDirection w:val="lrTb"/>
            <w:noWrap w:val="false"/>
          </w:tcPr>
          <w:p>
            <w:pPr>
              <w:pStyle w:val="8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834" w:type="dxa"/>
            <w:vMerge w:val="restart"/>
            <w:textDirection w:val="lrTb"/>
            <w:noWrap w:val="false"/>
          </w:tcPr>
          <w:p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Информационное сопровождение муниципальной практики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none" w:color="000000" w:sz="4" w:space="0"/>
            </w:tcBorders>
            <w:tcW w:w="5669" w:type="dxa"/>
            <w:textDirection w:val="lrTb"/>
            <w:noWrap w:val="false"/>
          </w:tcPr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bscript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= </w:t>
            </w:r>
            <w:hyperlink w:tooltip="4.1. Осуществлялось информационное сопровождение муниципальной практики в социальных сетях и блогах (да = 10 баллов, нет = 0 баллов)." w:anchor="P154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4.1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4.2. Информация о проведенных мероприятиях размещена представителями муниципального образования на портале национальнаяполитика.рф. (да = 10 баллов, нет = 0 баллов)." w:anchor="P155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4.2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= &lt;...&gt;, где: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</w:tcBorders>
            <w:tcW w:w="5669" w:type="dxa"/>
            <w:textDirection w:val="lrTb"/>
            <w:noWrap w:val="false"/>
          </w:tcPr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4.1. Осуществлялось информационное сопровождение муниципальной практики в социальных сетях и блогах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4.2. Информация о проведенных мероприятиях размещена представителями муниципального образования на портале национальнаяполитика.рф.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6" w:type="dxa"/>
            <w:vMerge w:val="restart"/>
            <w:textDirection w:val="lrTb"/>
            <w:noWrap w:val="false"/>
          </w:tcPr>
          <w:p>
            <w:pPr>
              <w:pStyle w:val="8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834" w:type="dxa"/>
            <w:vMerge w:val="restart"/>
            <w:textDirection w:val="lrTb"/>
            <w:noWrap w:val="false"/>
          </w:tcPr>
          <w:p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Оценка эффективности муниципальной практики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none" w:color="000000" w:sz="4" w:space="0"/>
            </w:tcBorders>
            <w:tcW w:w="5669" w:type="dxa"/>
            <w:textDirection w:val="lrTb"/>
            <w:noWrap w:val="false"/>
          </w:tcPr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bscript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= </w:t>
            </w:r>
            <w:hyperlink w:tooltip="5.1. В отчетном году в муниципальном образовании отсутствовали конфликтные ситуации на национальной и религиозной почве (да = 10 баллов, нет = 0 баллов)." w:anchor="P159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5.1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5.2. Реализованная муниципальная практика получила позитивное освещение в средствах массовой информации на местном, региональном или общероссийском уровне (да = 10 баллов, нет = 0 баллов)." w:anchor="P160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5.2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= &lt;...&gt;, где: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</w:tcBorders>
            <w:tcW w:w="5669" w:type="dxa"/>
            <w:textDirection w:val="lrTb"/>
            <w:noWrap w:val="false"/>
          </w:tcPr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5.1. В отчетном году в муниципальном образовании отсутствовали конфликтные ситуации на национальной и религиозной почве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5.2. Реализованная муниципальная практика получила позитивное освещение в средствах массовой информации на местном, региональном или общероссийском уровне (да = 10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6" w:type="dxa"/>
            <w:vMerge w:val="restart"/>
            <w:textDirection w:val="lrTb"/>
            <w:noWrap w:val="false"/>
          </w:tcPr>
          <w:p>
            <w:pPr>
              <w:pStyle w:val="8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834" w:type="dxa"/>
            <w:vMerge w:val="restart"/>
            <w:textDirection w:val="lrTb"/>
            <w:noWrap w:val="false"/>
          </w:tcPr>
          <w:p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Оценка качества конкурсной заявки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none" w:color="000000" w:sz="4" w:space="0"/>
            </w:tcBorders>
            <w:tcW w:w="5669" w:type="dxa"/>
            <w:textDirection w:val="lrTb"/>
            <w:noWrap w:val="false"/>
          </w:tcPr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bscript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= </w:t>
            </w:r>
            <w:hyperlink w:tooltip="6.1. Представлен развернутый поэтапный перечень мероприятий, которые были предприняты для того, чтобы реализовать муниципальную практику (&quot;дорожная карта&quot;) (да = 50 баллов, нет = 0 баллов)." w:anchor="P164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6.1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6.2. Презентационные материалы отличаются наглядностью и высоким качеством, использованы схемы, карты, диаграммы (да = 50 баллов, нет = 0 баллов)." w:anchor="P165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6.2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+ </w:t>
            </w:r>
            <w:hyperlink w:tooltip="6.3. Реализованная муниципальная практика тиражируема (да = 50 баллов, нет = 0 баллов)." w:anchor="P166" w:history="1">
              <w:r>
                <w:rPr>
                  <w:rFonts w:ascii="Times New Roman" w:hAnsi="Times New Roman" w:eastAsia="Times New Roman" w:cs="Times New Roman"/>
                  <w:color w:val="0000ff"/>
                  <w:sz w:val="28"/>
                  <w:szCs w:val="28"/>
                </w:rPr>
                <w:t xml:space="preserve">6.3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= &lt;...&gt;, где: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</w:tcBorders>
            <w:tcW w:w="5669" w:type="dxa"/>
            <w:textDirection w:val="lrTb"/>
            <w:noWrap w:val="false"/>
          </w:tcPr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6.1. Представлен развернутый поэтапный перечень мероприятий, которые были предприняты для того, чтобы реализовать муниципальную практику ("дорожная карта") (да = 50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6.2. Презентационные материалы отличаются наглядностью и высоким качеством, использованы схемы, карты, диаграммы (да = 50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6.3. Реализованная муниципальная практика тиражируема (да = 50 баллов, нет = 0 баллов).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pStyle w:val="848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8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>
    <w:name w:val="Heading 1"/>
    <w:basedOn w:val="842"/>
    <w:next w:val="842"/>
    <w:link w:val="66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7">
    <w:name w:val="Heading 1 Char"/>
    <w:link w:val="666"/>
    <w:uiPriority w:val="9"/>
    <w:rPr>
      <w:rFonts w:ascii="Arial" w:hAnsi="Arial" w:eastAsia="Arial" w:cs="Arial"/>
      <w:sz w:val="40"/>
      <w:szCs w:val="40"/>
    </w:rPr>
  </w:style>
  <w:style w:type="paragraph" w:styleId="668">
    <w:name w:val="Heading 2"/>
    <w:basedOn w:val="842"/>
    <w:next w:val="842"/>
    <w:link w:val="66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9">
    <w:name w:val="Heading 2 Char"/>
    <w:link w:val="668"/>
    <w:uiPriority w:val="9"/>
    <w:rPr>
      <w:rFonts w:ascii="Arial" w:hAnsi="Arial" w:eastAsia="Arial" w:cs="Arial"/>
      <w:sz w:val="34"/>
    </w:rPr>
  </w:style>
  <w:style w:type="paragraph" w:styleId="670">
    <w:name w:val="Heading 3"/>
    <w:basedOn w:val="842"/>
    <w:next w:val="842"/>
    <w:link w:val="67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1">
    <w:name w:val="Heading 3 Char"/>
    <w:link w:val="670"/>
    <w:uiPriority w:val="9"/>
    <w:rPr>
      <w:rFonts w:ascii="Arial" w:hAnsi="Arial" w:eastAsia="Arial" w:cs="Arial"/>
      <w:sz w:val="30"/>
      <w:szCs w:val="30"/>
    </w:rPr>
  </w:style>
  <w:style w:type="paragraph" w:styleId="672">
    <w:name w:val="Heading 4"/>
    <w:basedOn w:val="842"/>
    <w:next w:val="842"/>
    <w:link w:val="67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3">
    <w:name w:val="Heading 4 Char"/>
    <w:link w:val="672"/>
    <w:uiPriority w:val="9"/>
    <w:rPr>
      <w:rFonts w:ascii="Arial" w:hAnsi="Arial" w:eastAsia="Arial" w:cs="Arial"/>
      <w:b/>
      <w:bCs/>
      <w:sz w:val="26"/>
      <w:szCs w:val="26"/>
    </w:rPr>
  </w:style>
  <w:style w:type="paragraph" w:styleId="674">
    <w:name w:val="Heading 5"/>
    <w:basedOn w:val="842"/>
    <w:next w:val="842"/>
    <w:link w:val="67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5">
    <w:name w:val="Heading 5 Char"/>
    <w:link w:val="674"/>
    <w:uiPriority w:val="9"/>
    <w:rPr>
      <w:rFonts w:ascii="Arial" w:hAnsi="Arial" w:eastAsia="Arial" w:cs="Arial"/>
      <w:b/>
      <w:bCs/>
      <w:sz w:val="24"/>
      <w:szCs w:val="24"/>
    </w:rPr>
  </w:style>
  <w:style w:type="paragraph" w:styleId="676">
    <w:name w:val="Heading 6"/>
    <w:basedOn w:val="842"/>
    <w:next w:val="842"/>
    <w:link w:val="67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7">
    <w:name w:val="Heading 6 Char"/>
    <w:link w:val="676"/>
    <w:uiPriority w:val="9"/>
    <w:rPr>
      <w:rFonts w:ascii="Arial" w:hAnsi="Arial" w:eastAsia="Arial" w:cs="Arial"/>
      <w:b/>
      <w:bCs/>
      <w:sz w:val="22"/>
      <w:szCs w:val="22"/>
    </w:rPr>
  </w:style>
  <w:style w:type="paragraph" w:styleId="678">
    <w:name w:val="Heading 7"/>
    <w:basedOn w:val="842"/>
    <w:next w:val="842"/>
    <w:link w:val="67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9">
    <w:name w:val="Heading 7 Char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842"/>
    <w:next w:val="842"/>
    <w:link w:val="6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1">
    <w:name w:val="Heading 8 Char"/>
    <w:link w:val="680"/>
    <w:uiPriority w:val="9"/>
    <w:rPr>
      <w:rFonts w:ascii="Arial" w:hAnsi="Arial" w:eastAsia="Arial" w:cs="Arial"/>
      <w:i/>
      <w:iCs/>
      <w:sz w:val="22"/>
      <w:szCs w:val="22"/>
    </w:rPr>
  </w:style>
  <w:style w:type="paragraph" w:styleId="682">
    <w:name w:val="Heading 9"/>
    <w:basedOn w:val="842"/>
    <w:next w:val="842"/>
    <w:link w:val="68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>
    <w:name w:val="Heading 9 Char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684">
    <w:name w:val="Title"/>
    <w:basedOn w:val="842"/>
    <w:next w:val="842"/>
    <w:link w:val="68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5">
    <w:name w:val="Title Char"/>
    <w:link w:val="684"/>
    <w:uiPriority w:val="10"/>
    <w:rPr>
      <w:sz w:val="48"/>
      <w:szCs w:val="48"/>
    </w:rPr>
  </w:style>
  <w:style w:type="paragraph" w:styleId="686">
    <w:name w:val="Subtitle"/>
    <w:basedOn w:val="842"/>
    <w:next w:val="842"/>
    <w:link w:val="687"/>
    <w:uiPriority w:val="11"/>
    <w:qFormat/>
    <w:pPr>
      <w:spacing w:before="200" w:after="200"/>
    </w:pPr>
    <w:rPr>
      <w:sz w:val="24"/>
      <w:szCs w:val="24"/>
    </w:rPr>
  </w:style>
  <w:style w:type="character" w:styleId="687">
    <w:name w:val="Subtitle Char"/>
    <w:link w:val="686"/>
    <w:uiPriority w:val="11"/>
    <w:rPr>
      <w:sz w:val="24"/>
      <w:szCs w:val="24"/>
    </w:rPr>
  </w:style>
  <w:style w:type="paragraph" w:styleId="688">
    <w:name w:val="Quote"/>
    <w:basedOn w:val="842"/>
    <w:next w:val="842"/>
    <w:link w:val="689"/>
    <w:uiPriority w:val="29"/>
    <w:qFormat/>
    <w:pPr>
      <w:ind w:left="720" w:right="720"/>
    </w:pPr>
    <w:rPr>
      <w:i/>
    </w:rPr>
  </w:style>
  <w:style w:type="character" w:styleId="689">
    <w:name w:val="Quote Char"/>
    <w:link w:val="688"/>
    <w:uiPriority w:val="29"/>
    <w:rPr>
      <w:i/>
    </w:rPr>
  </w:style>
  <w:style w:type="paragraph" w:styleId="690">
    <w:name w:val="Intense Quote"/>
    <w:basedOn w:val="842"/>
    <w:next w:val="842"/>
    <w:link w:val="69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1">
    <w:name w:val="Intense Quote Char"/>
    <w:link w:val="690"/>
    <w:uiPriority w:val="30"/>
    <w:rPr>
      <w:i/>
    </w:rPr>
  </w:style>
  <w:style w:type="paragraph" w:styleId="692">
    <w:name w:val="Header"/>
    <w:basedOn w:val="842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Header Char"/>
    <w:link w:val="692"/>
    <w:uiPriority w:val="99"/>
  </w:style>
  <w:style w:type="paragraph" w:styleId="694">
    <w:name w:val="Footer"/>
    <w:basedOn w:val="842"/>
    <w:link w:val="69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5">
    <w:name w:val="Footer Char"/>
    <w:link w:val="694"/>
    <w:uiPriority w:val="99"/>
  </w:style>
  <w:style w:type="paragraph" w:styleId="696">
    <w:name w:val="Caption"/>
    <w:basedOn w:val="842"/>
    <w:next w:val="84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7">
    <w:name w:val="Caption Char"/>
    <w:basedOn w:val="696"/>
    <w:link w:val="694"/>
    <w:uiPriority w:val="99"/>
  </w:style>
  <w:style w:type="table" w:styleId="698">
    <w:name w:val="Table Grid"/>
    <w:basedOn w:val="84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Table Grid Light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0">
    <w:name w:val="Plain Table 1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1">
    <w:name w:val="Plain Table 2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2">
    <w:name w:val="Plain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3">
    <w:name w:val="Plain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Plain Table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5">
    <w:name w:val="Grid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7">
    <w:name w:val="Grid Table 4 - Accent 1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8">
    <w:name w:val="Grid Table 4 - Accent 2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9">
    <w:name w:val="Grid Table 4 - Accent 3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0">
    <w:name w:val="Grid Table 4 - Accent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1">
    <w:name w:val="Grid Table 4 - Accent 5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2">
    <w:name w:val="Grid Table 4 - Accent 6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3">
    <w:name w:val="Grid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4">
    <w:name w:val="Grid Table 5 Dark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7">
    <w:name w:val="Grid Table 5 Dark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0">
    <w:name w:val="Grid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1">
    <w:name w:val="Grid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2">
    <w:name w:val="Grid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3">
    <w:name w:val="Grid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4">
    <w:name w:val="Grid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5">
    <w:name w:val="Grid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6">
    <w:name w:val="Grid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7">
    <w:name w:val="Grid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2">
    <w:name w:val="List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3">
    <w:name w:val="List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4">
    <w:name w:val="List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5">
    <w:name w:val="List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6">
    <w:name w:val="List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7">
    <w:name w:val="List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8">
    <w:name w:val="List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0">
    <w:name w:val="List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1">
    <w:name w:val="List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2">
    <w:name w:val="List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3">
    <w:name w:val="List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4">
    <w:name w:val="List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5">
    <w:name w:val="List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6">
    <w:name w:val="List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7">
    <w:name w:val="List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8">
    <w:name w:val="List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9">
    <w:name w:val="List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0">
    <w:name w:val="List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1">
    <w:name w:val="List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2">
    <w:name w:val="List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3">
    <w:name w:val="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5">
    <w:name w:val="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6">
    <w:name w:val="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7">
    <w:name w:val="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8">
    <w:name w:val="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9">
    <w:name w:val="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0">
    <w:name w:val="Bordered &amp; 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1">
    <w:name w:val="Bordered &amp; 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2">
    <w:name w:val="Bordered &amp; 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3">
    <w:name w:val="Bordered &amp; 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4">
    <w:name w:val="Bordered &amp; 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5">
    <w:name w:val="Bordered &amp; 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6">
    <w:name w:val="Bordered &amp; 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7">
    <w:name w:val="Bordered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8">
    <w:name w:val="Bordered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9">
    <w:name w:val="Bordered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0">
    <w:name w:val="Bordered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1">
    <w:name w:val="Bordered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2">
    <w:name w:val="Bordered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3">
    <w:name w:val="Bordered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4">
    <w:name w:val="Hyperlink"/>
    <w:uiPriority w:val="99"/>
    <w:unhideWhenUsed/>
    <w:rPr>
      <w:color w:val="0000ff" w:themeColor="hyperlink"/>
      <w:u w:val="single"/>
    </w:rPr>
  </w:style>
  <w:style w:type="paragraph" w:styleId="825">
    <w:name w:val="footnote text"/>
    <w:basedOn w:val="842"/>
    <w:link w:val="826"/>
    <w:uiPriority w:val="99"/>
    <w:semiHidden/>
    <w:unhideWhenUsed/>
    <w:pPr>
      <w:spacing w:after="40" w:line="240" w:lineRule="auto"/>
    </w:pPr>
    <w:rPr>
      <w:sz w:val="18"/>
    </w:rPr>
  </w:style>
  <w:style w:type="character" w:styleId="826">
    <w:name w:val="Footnote Text Char"/>
    <w:link w:val="825"/>
    <w:uiPriority w:val="99"/>
    <w:rPr>
      <w:sz w:val="18"/>
    </w:rPr>
  </w:style>
  <w:style w:type="character" w:styleId="827">
    <w:name w:val="footnote reference"/>
    <w:uiPriority w:val="99"/>
    <w:unhideWhenUsed/>
    <w:rPr>
      <w:vertAlign w:val="superscript"/>
    </w:rPr>
  </w:style>
  <w:style w:type="paragraph" w:styleId="828">
    <w:name w:val="endnote text"/>
    <w:basedOn w:val="842"/>
    <w:link w:val="829"/>
    <w:uiPriority w:val="99"/>
    <w:semiHidden/>
    <w:unhideWhenUsed/>
    <w:pPr>
      <w:spacing w:after="0" w:line="240" w:lineRule="auto"/>
    </w:pPr>
    <w:rPr>
      <w:sz w:val="20"/>
    </w:rPr>
  </w:style>
  <w:style w:type="character" w:styleId="829">
    <w:name w:val="Endnote Text Char"/>
    <w:link w:val="828"/>
    <w:uiPriority w:val="99"/>
    <w:rPr>
      <w:sz w:val="20"/>
    </w:rPr>
  </w:style>
  <w:style w:type="character" w:styleId="830">
    <w:name w:val="endnote reference"/>
    <w:uiPriority w:val="99"/>
    <w:semiHidden/>
    <w:unhideWhenUsed/>
    <w:rPr>
      <w:vertAlign w:val="superscript"/>
    </w:rPr>
  </w:style>
  <w:style w:type="paragraph" w:styleId="831">
    <w:name w:val="toc 1"/>
    <w:basedOn w:val="842"/>
    <w:next w:val="842"/>
    <w:uiPriority w:val="39"/>
    <w:unhideWhenUsed/>
    <w:pPr>
      <w:ind w:left="0" w:right="0" w:firstLine="0"/>
      <w:spacing w:after="57"/>
    </w:pPr>
  </w:style>
  <w:style w:type="paragraph" w:styleId="832">
    <w:name w:val="toc 2"/>
    <w:basedOn w:val="842"/>
    <w:next w:val="842"/>
    <w:uiPriority w:val="39"/>
    <w:unhideWhenUsed/>
    <w:pPr>
      <w:ind w:left="283" w:right="0" w:firstLine="0"/>
      <w:spacing w:after="57"/>
    </w:pPr>
  </w:style>
  <w:style w:type="paragraph" w:styleId="833">
    <w:name w:val="toc 3"/>
    <w:basedOn w:val="842"/>
    <w:next w:val="842"/>
    <w:uiPriority w:val="39"/>
    <w:unhideWhenUsed/>
    <w:pPr>
      <w:ind w:left="567" w:right="0" w:firstLine="0"/>
      <w:spacing w:after="57"/>
    </w:pPr>
  </w:style>
  <w:style w:type="paragraph" w:styleId="834">
    <w:name w:val="toc 4"/>
    <w:basedOn w:val="842"/>
    <w:next w:val="842"/>
    <w:uiPriority w:val="39"/>
    <w:unhideWhenUsed/>
    <w:pPr>
      <w:ind w:left="850" w:right="0" w:firstLine="0"/>
      <w:spacing w:after="57"/>
    </w:pPr>
  </w:style>
  <w:style w:type="paragraph" w:styleId="835">
    <w:name w:val="toc 5"/>
    <w:basedOn w:val="842"/>
    <w:next w:val="842"/>
    <w:uiPriority w:val="39"/>
    <w:unhideWhenUsed/>
    <w:pPr>
      <w:ind w:left="1134" w:right="0" w:firstLine="0"/>
      <w:spacing w:after="57"/>
    </w:pPr>
  </w:style>
  <w:style w:type="paragraph" w:styleId="836">
    <w:name w:val="toc 6"/>
    <w:basedOn w:val="842"/>
    <w:next w:val="842"/>
    <w:uiPriority w:val="39"/>
    <w:unhideWhenUsed/>
    <w:pPr>
      <w:ind w:left="1417" w:right="0" w:firstLine="0"/>
      <w:spacing w:after="57"/>
    </w:pPr>
  </w:style>
  <w:style w:type="paragraph" w:styleId="837">
    <w:name w:val="toc 7"/>
    <w:basedOn w:val="842"/>
    <w:next w:val="842"/>
    <w:uiPriority w:val="39"/>
    <w:unhideWhenUsed/>
    <w:pPr>
      <w:ind w:left="1701" w:right="0" w:firstLine="0"/>
      <w:spacing w:after="57"/>
    </w:pPr>
  </w:style>
  <w:style w:type="paragraph" w:styleId="838">
    <w:name w:val="toc 8"/>
    <w:basedOn w:val="842"/>
    <w:next w:val="842"/>
    <w:uiPriority w:val="39"/>
    <w:unhideWhenUsed/>
    <w:pPr>
      <w:ind w:left="1984" w:right="0" w:firstLine="0"/>
      <w:spacing w:after="57"/>
    </w:pPr>
  </w:style>
  <w:style w:type="paragraph" w:styleId="839">
    <w:name w:val="toc 9"/>
    <w:basedOn w:val="842"/>
    <w:next w:val="842"/>
    <w:uiPriority w:val="39"/>
    <w:unhideWhenUsed/>
    <w:pPr>
      <w:ind w:left="2268" w:right="0" w:firstLine="0"/>
      <w:spacing w:after="57"/>
    </w:pPr>
  </w:style>
  <w:style w:type="paragraph" w:styleId="840">
    <w:name w:val="TOC Heading"/>
    <w:uiPriority w:val="39"/>
    <w:unhideWhenUsed/>
  </w:style>
  <w:style w:type="paragraph" w:styleId="841">
    <w:name w:val="table of figures"/>
    <w:basedOn w:val="842"/>
    <w:next w:val="842"/>
    <w:uiPriority w:val="99"/>
    <w:unhideWhenUsed/>
    <w:pPr>
      <w:spacing w:after="0" w:afterAutospacing="0"/>
    </w:pPr>
  </w:style>
  <w:style w:type="paragraph" w:styleId="842" w:default="1">
    <w:name w:val="Normal"/>
    <w:qFormat/>
  </w:style>
  <w:style w:type="table" w:styleId="84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4" w:default="1">
    <w:name w:val="No List"/>
    <w:uiPriority w:val="99"/>
    <w:semiHidden/>
    <w:unhideWhenUsed/>
  </w:style>
  <w:style w:type="paragraph" w:styleId="845">
    <w:name w:val="No Spacing"/>
    <w:basedOn w:val="842"/>
    <w:uiPriority w:val="1"/>
    <w:qFormat/>
    <w:pPr>
      <w:spacing w:after="0" w:line="240" w:lineRule="auto"/>
    </w:pPr>
  </w:style>
  <w:style w:type="paragraph" w:styleId="846">
    <w:name w:val="List Paragraph"/>
    <w:basedOn w:val="842"/>
    <w:uiPriority w:val="34"/>
    <w:qFormat/>
    <w:pPr>
      <w:contextualSpacing/>
      <w:ind w:left="720"/>
    </w:pPr>
  </w:style>
  <w:style w:type="character" w:styleId="847" w:default="1">
    <w:name w:val="Default Paragraph Font"/>
    <w:uiPriority w:val="1"/>
    <w:semiHidden/>
    <w:unhideWhenUsed/>
  </w:style>
  <w:style w:type="paragraph" w:styleId="848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cs="Calibri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49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cs="Calibri" w:eastAsiaTheme="minorEastAsia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media1.sv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2026-05-04T09:03:18Z</dcterms:modified>
</cp:coreProperties>
</file>