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32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r>
              <w:rPr>
                <w:b/>
                <w:spacing w:val="40"/>
                <w:sz w:val="22"/>
                <w:szCs w:val="20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>
              <w:rPr>
                <w:b/>
                <w:spacing w:val="40"/>
                <w:sz w:val="22"/>
                <w:szCs w:val="20"/>
              </w:rPr>
              <w:t>Республика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8"/>
                <w:szCs w:val="20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r>
              <w:rPr>
                <w:b/>
                <w:spacing w:val="40"/>
                <w:sz w:val="22"/>
                <w:szCs w:val="20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>
              <w:rPr>
                <w:b/>
                <w:spacing w:val="40"/>
                <w:sz w:val="22"/>
                <w:szCs w:val="20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  <w:szCs w:val="20"/>
              </w:rPr>
            </w:pPr>
            <w:r>
              <w:rPr>
                <w:b/>
                <w:spacing w:val="40"/>
                <w:sz w:val="22"/>
                <w:szCs w:val="20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>
              <w:rPr>
                <w:b/>
                <w:spacing w:val="40"/>
                <w:sz w:val="22"/>
                <w:szCs w:val="20"/>
              </w:rPr>
              <w:t>депутатов</w:t>
            </w:r>
          </w:p>
          <w:p>
            <w:pPr>
              <w:overflowPunct w:val="0"/>
              <w:autoSpaceDE w:val="0"/>
              <w:autoSpaceDN w:val="0"/>
              <w:adjustRightInd w:val="0"/>
              <w:ind w:left="-112" w:right="-102"/>
              <w:textAlignment w:val="baseline"/>
              <w:rPr>
                <w:rFonts w:ascii="Baltica Chv" w:hAnsi="Baltica Chv"/>
                <w:b/>
                <w:sz w:val="22"/>
                <w:szCs w:val="20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  <w:szCs w:val="20"/>
              </w:rPr>
            </w:pPr>
            <w:r>
              <w:rPr>
                <w:b/>
                <w:caps/>
                <w:spacing w:val="40"/>
                <w:sz w:val="22"/>
                <w:szCs w:val="20"/>
              </w:rPr>
              <w:t>РЕШЕНИЕ</w:t>
            </w:r>
          </w:p>
        </w:tc>
        <w:tc>
          <w:tcPr>
            <w:tcW w:w="1588" w:type="dxa"/>
            <w:hideMark/>
          </w:tcPr>
          <w:p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drawing>
                <wp:inline distT="0" distB="0" distL="0" distR="0">
                  <wp:extent cx="657225" cy="838200"/>
                  <wp:effectExtent l="0" t="0" r="9525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b/>
                <w:sz w:val="8"/>
                <w:szCs w:val="20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r>
              <w:rPr>
                <w:b/>
                <w:spacing w:val="40"/>
                <w:sz w:val="22"/>
                <w:szCs w:val="20"/>
              </w:rPr>
              <w:t>Ч</w:t>
            </w:r>
            <w:r>
              <w:rPr>
                <w:rFonts w:ascii="Baltica Chv" w:hAnsi="Baltica Chv"/>
                <w:b/>
                <w:spacing w:val="40"/>
                <w:sz w:val="22"/>
                <w:szCs w:val="20"/>
              </w:rPr>
              <w:t>=</w:t>
            </w:r>
            <w:r>
              <w:rPr>
                <w:b/>
                <w:spacing w:val="40"/>
                <w:sz w:val="22"/>
                <w:szCs w:val="20"/>
              </w:rPr>
              <w:t>ваш</w:t>
            </w:r>
            <w:r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>
              <w:rPr>
                <w:b/>
                <w:spacing w:val="40"/>
                <w:sz w:val="22"/>
                <w:szCs w:val="20"/>
              </w:rPr>
              <w:t>Республики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r>
              <w:rPr>
                <w:b/>
                <w:spacing w:val="40"/>
                <w:sz w:val="22"/>
                <w:szCs w:val="20"/>
              </w:rPr>
              <w:t>Шупашкар</w:t>
            </w:r>
            <w:r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>
              <w:rPr>
                <w:b/>
                <w:spacing w:val="40"/>
                <w:sz w:val="22"/>
                <w:szCs w:val="20"/>
              </w:rPr>
              <w:t>хулин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r>
              <w:rPr>
                <w:b/>
                <w:spacing w:val="40"/>
                <w:sz w:val="22"/>
                <w:szCs w:val="20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>
              <w:rPr>
                <w:b/>
                <w:spacing w:val="40"/>
                <w:sz w:val="22"/>
                <w:szCs w:val="20"/>
              </w:rPr>
              <w:t>Пух</w:t>
            </w:r>
            <w:r>
              <w:rPr>
                <w:rFonts w:ascii="Baltica Chv" w:hAnsi="Baltica Chv"/>
                <w:b/>
                <w:spacing w:val="40"/>
                <w:sz w:val="22"/>
                <w:szCs w:val="20"/>
              </w:rPr>
              <w:t>=</w:t>
            </w:r>
            <w:r>
              <w:rPr>
                <w:b/>
                <w:spacing w:val="40"/>
                <w:sz w:val="22"/>
                <w:szCs w:val="20"/>
              </w:rPr>
              <w:t>в</w:t>
            </w:r>
            <w:r>
              <w:rPr>
                <w:rFonts w:ascii="Baltica Chv" w:hAnsi="Baltica Chv"/>
                <w:b/>
                <w:spacing w:val="40"/>
                <w:sz w:val="22"/>
                <w:szCs w:val="20"/>
              </w:rPr>
              <w:t>\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ЙЫШ</w:t>
            </w:r>
            <w:r>
              <w:rPr>
                <w:rFonts w:ascii="Baltica Chv" w:hAnsi="Baltica Chv"/>
                <w:b/>
                <w:sz w:val="22"/>
                <w:szCs w:val="20"/>
              </w:rPr>
              <w:t>+</w:t>
            </w:r>
            <w:r>
              <w:rPr>
                <w:b/>
                <w:sz w:val="22"/>
                <w:szCs w:val="20"/>
              </w:rPr>
              <w:t>НУ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  <w:szCs w:val="20"/>
              </w:rPr>
            </w:pPr>
          </w:p>
        </w:tc>
      </w:tr>
    </w:tbl>
    <w:p>
      <w:pPr>
        <w:pStyle w:val="3"/>
        <w:tabs>
          <w:tab w:val="left" w:pos="4820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10 апреля 2025 года № 1987</w:t>
      </w:r>
      <w:bookmarkStart w:id="0" w:name="_GoBack"/>
      <w:bookmarkEnd w:id="0"/>
    </w:p>
    <w:p>
      <w:pPr>
        <w:pStyle w:val="3"/>
        <w:spacing w:after="0"/>
        <w:ind w:right="5245"/>
        <w:jc w:val="both"/>
        <w:rPr>
          <w:sz w:val="28"/>
          <w:szCs w:val="28"/>
        </w:rPr>
      </w:pPr>
    </w:p>
    <w:p>
      <w:pPr>
        <w:pStyle w:val="3"/>
        <w:spacing w:after="0"/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</w:t>
      </w:r>
      <w:r>
        <w:rPr>
          <w:sz w:val="28"/>
          <w:szCs w:val="28"/>
        </w:rPr>
        <w:br/>
        <w:t>о порядке реализации жилищных прав гражданами – жителями города Чебоксары, утвержденный решением Чебоксарского городского Собрания депутатов от 30 мая 2024 года № 1634</w:t>
      </w:r>
    </w:p>
    <w:p>
      <w:pPr>
        <w:pStyle w:val="3"/>
        <w:spacing w:after="0" w:line="360" w:lineRule="auto"/>
        <w:ind w:right="5243"/>
        <w:jc w:val="both"/>
        <w:rPr>
          <w:sz w:val="28"/>
          <w:szCs w:val="28"/>
        </w:rPr>
      </w:pPr>
    </w:p>
    <w:p>
      <w:pPr>
        <w:pStyle w:val="a3"/>
        <w:spacing w:after="12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Законом Чувашской Республики от 17 октября </w:t>
      </w:r>
      <w:r>
        <w:rPr>
          <w:bCs/>
          <w:sz w:val="28"/>
          <w:szCs w:val="28"/>
        </w:rPr>
        <w:br/>
        <w:t xml:space="preserve">2025 года № 42 «О регулировании жилищных отношений», Уставом городского округа город Чебоксары Чувашской Республики, принятого решением Чебоксарского городского Собрания депутатов от 30 ноября </w:t>
      </w:r>
      <w:r>
        <w:rPr>
          <w:bCs/>
          <w:sz w:val="28"/>
          <w:szCs w:val="28"/>
        </w:rPr>
        <w:br/>
        <w:t xml:space="preserve">2005 года № 40, на основании протеста прокуратуры города Чебоксары </w:t>
      </w:r>
      <w:r>
        <w:rPr>
          <w:bCs/>
          <w:sz w:val="28"/>
          <w:szCs w:val="28"/>
        </w:rPr>
        <w:br/>
        <w:t>от 29 октября 2024 года № 03-01-2024,</w:t>
      </w:r>
    </w:p>
    <w:p>
      <w:pPr>
        <w:pStyle w:val="a8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Чебоксарское городское Собрание депутатов</w:t>
      </w:r>
    </w:p>
    <w:p>
      <w:pPr>
        <w:spacing w:after="1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порядке реализации жилищных прав гражданами – жителями города Чебоксары, утвержденный </w:t>
      </w:r>
      <w:r>
        <w:rPr>
          <w:bCs/>
          <w:sz w:val="28"/>
          <w:szCs w:val="28"/>
        </w:rPr>
        <w:t>решением Чебоксарского городского Собрания депутатов от 30 мая 2024 года № 1634, следующие изме</w:t>
      </w:r>
      <w:r>
        <w:rPr>
          <w:sz w:val="28"/>
          <w:szCs w:val="28"/>
        </w:rPr>
        <w:t>нения: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2: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пункты 2.7–2.9 изложить в следующей редакции: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Учет малоимущих граждан, нуждающихся в жилом помещении по договору социального найма, осуществляется управлением ЖКХ, энергетики, транспорта и связи администрации города Чебоксары (далее – администрация) через управы по Калининскому, Ленинскому, Московскому районов администрации города Чебоксары на основании заявлений граждан, поданных ими по месту жительства или в многофункциональный центр </w:t>
      </w:r>
      <w:r>
        <w:rPr>
          <w:sz w:val="28"/>
          <w:szCs w:val="28"/>
        </w:rPr>
        <w:lastRenderedPageBreak/>
        <w:t>предоставления государственных и муниципальных услуг (далее – многофункциональный центр). Граждане могут представить заявление о принятии на учет не по месту жительства в случаях, установленном законодательством Российской Федерации.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Для признания гражданина нуждающимся в получении жилого помещения и малоимущим гражданин вместе с заявлением о принятии его на учет нуждающегося в получении жилого помещения, в качестве малоимущего, представляет в администрацию по месту жительства или многофункциональный центр документы, указанные в </w:t>
      </w:r>
      <w:hyperlink r:id="rId8" w:anchor="/document/17600949/entry/431" w:history="1">
        <w:r>
          <w:rPr>
            <w:rStyle w:val="ad"/>
            <w:color w:val="auto"/>
            <w:sz w:val="28"/>
            <w:szCs w:val="28"/>
            <w:u w:val="none"/>
          </w:rPr>
          <w:t>пунктах 1</w:t>
        </w:r>
      </w:hyperlink>
      <w:r>
        <w:rPr>
          <w:sz w:val="28"/>
          <w:szCs w:val="28"/>
        </w:rPr>
        <w:t xml:space="preserve">, 2, </w:t>
      </w:r>
      <w:hyperlink r:id="rId9" w:anchor="/document/17600949/entry/433" w:history="1">
        <w:r>
          <w:rPr>
            <w:rStyle w:val="ad"/>
            <w:color w:val="auto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 xml:space="preserve">, 3.1, 3.2, 3.3, </w:t>
      </w:r>
      <w:hyperlink r:id="rId10" w:anchor="/document/17600949/entry/437" w:history="1">
        <w:r>
          <w:rPr>
            <w:rStyle w:val="ad"/>
            <w:color w:val="auto"/>
            <w:sz w:val="28"/>
            <w:szCs w:val="28"/>
            <w:u w:val="none"/>
          </w:rPr>
          <w:t>7-9 части 3</w:t>
        </w:r>
      </w:hyperlink>
      <w:r>
        <w:rPr>
          <w:sz w:val="28"/>
          <w:szCs w:val="28"/>
        </w:rPr>
        <w:t xml:space="preserve"> и в </w:t>
      </w:r>
      <w:hyperlink r:id="rId11" w:anchor="/document/17600949/entry/44" w:history="1">
        <w:r>
          <w:rPr>
            <w:rStyle w:val="ad"/>
            <w:color w:val="auto"/>
            <w:sz w:val="28"/>
            <w:szCs w:val="28"/>
            <w:u w:val="none"/>
          </w:rPr>
          <w:t>части 4 статьи 4</w:t>
        </w:r>
      </w:hyperlink>
      <w:r>
        <w:rPr>
          <w:sz w:val="28"/>
          <w:szCs w:val="28"/>
        </w:rPr>
        <w:t xml:space="preserve"> Закона Чувашской Республики </w:t>
      </w:r>
      <w:r>
        <w:rPr>
          <w:sz w:val="28"/>
          <w:szCs w:val="28"/>
        </w:rPr>
        <w:br/>
        <w:t xml:space="preserve">от 17 октября 2005 года № 42 «О регулировании жилищных отношений» </w:t>
      </w:r>
      <w:r>
        <w:rPr>
          <w:sz w:val="28"/>
          <w:szCs w:val="28"/>
        </w:rPr>
        <w:br/>
        <w:t xml:space="preserve">(в редакции решений Чебоксарского городского Собрания депутатов </w:t>
      </w:r>
      <w:r>
        <w:rPr>
          <w:sz w:val="28"/>
          <w:szCs w:val="28"/>
        </w:rPr>
        <w:br/>
        <w:t>от 30 августа 2006 года № 41, от 19 июля 2007 года № 42, от 4 февраля 2008 года № 5, от 23 сентября 2008 года № 40, от 19 октября 2009 года № 50, от 27 февраля 2010 года № 4, от 15 июля 2011 года № 39, от 25 ноября 2011 года     № 72, от 5 июня 2013 года № 27, от 22 июня 2015 года № 33, от 18 апреля 2016 года № 22, от 27 октября 2016 года № 72, от 29 августа 2017 года № 47, от 28 апреля 2018 года № 28, от 1 марта 2019 года № 11, от 7 марта 2019 года № 22, от 7 мая 2019 года № 33, от 23 декабря 2019 года № 91, от 4 марта 2020 года № 13, от 21 октября 2020 года № 87, от 20 мая 2021 года № 37, от 24 декабря 2021 года № 104, от 29 марта 2022 года № 9, от 5 июля 2023 года                 № 60, от 2 ноября 2022 года № 104, от 23 декабря 2022 года № 132, от 28 марта 2023 года № 17, от 7 июля 2023 года № 45, от 7 июля 2023 года № 50, от 27 сентября 2023 года № 67, от 15 февраля 2024 года № 1, от 24 апреля 2024 года № 26), а также согласие на обработку персональных данных. Копии документов представляются с оригиналами, или заверенные в установленном порядке. Специалисты отдела учета и распределения жилья администрации города Чебоксары (далее – отдел жилья) и многофункциональный центр заверяют копии документов после проверки соответствия копии оригиналу.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2.9. Администрация в порядке межведомственного информационного взаимодействия самостоятельно запрашивает документы, указанные </w:t>
      </w:r>
      <w:r>
        <w:rPr>
          <w:sz w:val="28"/>
          <w:szCs w:val="28"/>
        </w:rPr>
        <w:br/>
        <w:t xml:space="preserve">в </w:t>
      </w:r>
      <w:hyperlink r:id="rId12" w:anchor="/document/17600949/entry/4111" w:history="1">
        <w:r>
          <w:rPr>
            <w:rStyle w:val="ad"/>
            <w:color w:val="auto"/>
            <w:sz w:val="28"/>
            <w:szCs w:val="28"/>
            <w:u w:val="none"/>
          </w:rPr>
          <w:t>пунктах 1</w:t>
        </w:r>
      </w:hyperlink>
      <w:r>
        <w:rPr>
          <w:sz w:val="28"/>
          <w:szCs w:val="28"/>
        </w:rPr>
        <w:t xml:space="preserve">, 1.1, 1.2, 5–11 части 4.1 статьи 4 Закона Чувашской Республики </w:t>
      </w:r>
      <w:r>
        <w:rPr>
          <w:sz w:val="28"/>
          <w:szCs w:val="28"/>
        </w:rPr>
        <w:br/>
        <w:t xml:space="preserve">от 17 октября 2005 года № 42 «О регулировании жилищных отношений» </w:t>
      </w:r>
      <w:r>
        <w:rPr>
          <w:sz w:val="28"/>
          <w:szCs w:val="28"/>
        </w:rPr>
        <w:br/>
        <w:t>(с изменениями и дополнениями), если такие документы не были представлены заявителем по собственной инициативе.»;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пункт 2.22 изложить в следующей редакции: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«2.22. Решение о снятии с учета граждан в качестве нуждающихся </w:t>
      </w:r>
      <w:r>
        <w:rPr>
          <w:sz w:val="28"/>
          <w:szCs w:val="28"/>
        </w:rPr>
        <w:br/>
        <w:t>в жилых помещениях оформляется в виде постановления администрации города Чебоксары с указанием оснований снятий с учета, предусмотренных пунктом 2.21 Положения. Данное постановление должно быть принято не позднее тридцати дней со дня выявления обстоятельств, являющихся основанием для принятия такого решения, и выдается (направляется) гражданам не позднее чем через три рабочих дня со дня принятия.»;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пункт 7.6 раздела 7 изложить в следующей редакции: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«7.6. 1. Граждане снимаются с учета в качестве нуждающихся в жилых помещениях в случае: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подачи ими по месту учета заявления о снятии с учета;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утраты ими оснований, дающих им право на получение жилого помещения по договору социального найма;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их выезда на место жительства в другое муниципальное образование;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законом субъекта Российской Федерации;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pStyle w:val="3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постоянную комиссию Чебоксарского городского Собрания депутатов </w:t>
      </w:r>
      <w:r>
        <w:rPr>
          <w:bCs/>
          <w:sz w:val="28"/>
          <w:szCs w:val="28"/>
        </w:rPr>
        <w:t>по местному самоуправлению и законности (Н.Ю. Евсюкова).</w:t>
      </w:r>
    </w:p>
    <w:p>
      <w:pPr>
        <w:pStyle w:val="3"/>
        <w:spacing w:after="0" w:line="360" w:lineRule="auto"/>
        <w:ind w:firstLine="540"/>
        <w:jc w:val="both"/>
        <w:rPr>
          <w:sz w:val="28"/>
          <w:szCs w:val="28"/>
        </w:rPr>
      </w:pPr>
    </w:p>
    <w:p>
      <w:pPr>
        <w:pStyle w:val="3"/>
        <w:spacing w:after="0" w:line="360" w:lineRule="auto"/>
        <w:ind w:firstLine="540"/>
        <w:jc w:val="both"/>
        <w:rPr>
          <w:sz w:val="28"/>
          <w:szCs w:val="28"/>
        </w:rPr>
      </w:pPr>
    </w:p>
    <w:p>
      <w:pPr>
        <w:tabs>
          <w:tab w:val="left" w:pos="737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Чебоксарского                      Глава города Чебоксары</w:t>
      </w:r>
    </w:p>
    <w:p>
      <w:pPr>
        <w:tabs>
          <w:tab w:val="left" w:pos="737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</w:t>
      </w:r>
    </w:p>
    <w:p>
      <w:pPr>
        <w:tabs>
          <w:tab w:val="left" w:pos="7371"/>
        </w:tabs>
        <w:ind w:right="-1"/>
        <w:jc w:val="both"/>
        <w:rPr>
          <w:sz w:val="28"/>
          <w:szCs w:val="28"/>
        </w:rPr>
      </w:pPr>
    </w:p>
    <w:p>
      <w:pPr>
        <w:tabs>
          <w:tab w:val="left" w:pos="737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________________Е.Н. Кадышев                ________________В.А. Доброхотов</w:t>
      </w:r>
    </w:p>
    <w:p>
      <w:pPr>
        <w:tabs>
          <w:tab w:val="left" w:pos="737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ind w:right="-396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>
      <w:pPr>
        <w:ind w:right="-3969"/>
        <w:rPr>
          <w:sz w:val="28"/>
          <w:szCs w:val="28"/>
        </w:rPr>
      </w:pPr>
    </w:p>
    <w:p>
      <w:pPr>
        <w:ind w:right="-3969"/>
        <w:rPr>
          <w:sz w:val="28"/>
          <w:szCs w:val="28"/>
        </w:rPr>
      </w:pPr>
    </w:p>
    <w:p>
      <w:pPr>
        <w:spacing w:line="360" w:lineRule="auto"/>
        <w:jc w:val="both"/>
        <w:rPr>
          <w:snapToGrid w:val="0"/>
          <w:color w:val="000000"/>
          <w:sz w:val="28"/>
          <w:szCs w:val="20"/>
        </w:rPr>
      </w:pPr>
    </w:p>
    <w:sectPr>
      <w:headerReference w:type="default" r:id="rId13"/>
      <w:pgSz w:w="11906" w:h="16838" w:code="9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091154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97B6A3-4E4D-4FDB-A97F-203C3571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"/>
    <w:basedOn w:val="a"/>
    <w:link w:val="a4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cs="Tahoma"/>
      <w:kern w:val="1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link w:val="a3"/>
    <w:semiHidden/>
    <w:locked/>
    <w:rPr>
      <w:rFonts w:cs="Tahoma"/>
      <w:kern w:val="1"/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Pr>
      <w:sz w:val="16"/>
      <w:szCs w:val="16"/>
      <w:lang w:val="ru-RU" w:eastAsia="ru-RU" w:bidi="ar-SA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Pr>
      <w:sz w:val="24"/>
      <w:szCs w:val="24"/>
      <w:lang w:val="ru-RU" w:eastAsia="ru-RU" w:bidi="ar-SA"/>
    </w:rPr>
  </w:style>
  <w:style w:type="character" w:styleId="a7">
    <w:name w:val="page number"/>
    <w:rPr>
      <w:rFonts w:cs="Times New Roman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link w:val="a8"/>
    <w:semiHidden/>
    <w:locked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Balloon Text"/>
    <w:basedOn w:val="a"/>
    <w:link w:val="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Pr>
      <w:rFonts w:ascii="Segoe UI" w:hAnsi="Segoe UI" w:cs="Segoe UI"/>
      <w:sz w:val="18"/>
      <w:szCs w:val="18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Pr>
      <w:rFonts w:ascii="Arial" w:hAnsi="Arial"/>
      <w:b/>
      <w:bCs/>
      <w:color w:val="000080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Iniiaiieoaeno2">
    <w:name w:val="Iniiaiie oaeno 2"/>
    <w:basedOn w:val="a"/>
    <w:pPr>
      <w:tabs>
        <w:tab w:val="left" w:pos="7938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11">
    <w:name w:val="Обычный1"/>
    <w:rPr>
      <w:snapToGrid w:val="0"/>
      <w:sz w:val="28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Pr>
      <w:sz w:val="24"/>
      <w:szCs w:val="24"/>
    </w:rPr>
  </w:style>
  <w:style w:type="paragraph" w:customStyle="1" w:styleId="Normal1">
    <w:name w:val="Normal1"/>
    <w:rPr>
      <w:snapToGrid w:val="0"/>
      <w:sz w:val="28"/>
    </w:rPr>
  </w:style>
  <w:style w:type="character" w:customStyle="1" w:styleId="60">
    <w:name w:val="Заголовок 6 Знак"/>
    <w:basedOn w:val="a0"/>
    <w:link w:val="6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1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52.154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192.168.152.15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92.168.152.154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192.168.152.1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152.15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9063-9D6B-4645-8899-24AC5242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Организация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gcheb_chgsd4</cp:lastModifiedBy>
  <cp:revision>11</cp:revision>
  <cp:lastPrinted>2025-04-11T09:48:00Z</cp:lastPrinted>
  <dcterms:created xsi:type="dcterms:W3CDTF">2025-04-09T12:15:00Z</dcterms:created>
  <dcterms:modified xsi:type="dcterms:W3CDTF">2025-04-11T10:51:00Z</dcterms:modified>
</cp:coreProperties>
</file>