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_rels/.rels" ContentType="application/vnd.openxmlformats-package.relationship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_rels/document.xml.rels" ContentType="application/vnd.openxmlformats-package.relationships+xml"/>
  <Override PartName="/word/document.xml" ContentType="application/vnd.openxmlformats-officedocument.wordprocessingml.document.main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body>
    <w:p>
      <w:pPr>
        <w:pStyle w:val="Normal"/>
        <w:spacing w:lineRule="auto" w:line="240" w:before="0" w:after="0"/>
        <w:jc w:val="center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Ответы на вопросы, поступившие от граждан в ходе проведения</w:t>
      </w:r>
    </w:p>
    <w:p>
      <w:pPr>
        <w:pStyle w:val="Normal"/>
        <w:spacing w:lineRule="auto" w:line="240" w:before="0" w:after="0"/>
        <w:jc w:val="center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Единого информационного дня в Чувашской Республике 19 февраля 2025 года</w:t>
      </w:r>
    </w:p>
    <w:p>
      <w:pPr>
        <w:pStyle w:val="Normal"/>
        <w:spacing w:lineRule="auto" w:line="240" w:before="0" w:after="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</w:r>
    </w:p>
    <w:tbl>
      <w:tblPr>
        <w:tblW w:w="14895" w:type="dxa"/>
        <w:jc w:val="left"/>
        <w:tblInd w:w="84" w:type="dxa"/>
        <w:tblLayout w:type="fixed"/>
        <w:tblCellMar>
          <w:top w:w="0" w:type="dxa"/>
          <w:left w:w="108" w:type="dxa"/>
          <w:bottom w:w="0" w:type="dxa"/>
          <w:right w:w="108" w:type="dxa"/>
        </w:tblCellMar>
        <w:tblLook w:noVBand="0" w:val="00a0" w:noHBand="0" w:lastColumn="0" w:firstColumn="1" w:lastRow="0" w:firstRow="1"/>
      </w:tblPr>
      <w:tblGrid>
        <w:gridCol w:w="734"/>
        <w:gridCol w:w="4296"/>
        <w:gridCol w:w="2488"/>
        <w:gridCol w:w="7376"/>
      </w:tblGrid>
      <w:tr>
        <w:trPr>
          <w:trHeight w:val="864" w:hRule="atLeast"/>
        </w:trPr>
        <w:tc>
          <w:tcPr>
            <w:tcW w:w="7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spacing w:lineRule="auto" w:line="240" w:before="0" w:after="0"/>
              <w:ind w:hanging="0" w:left="0"/>
              <w:jc w:val="center"/>
              <w:rPr/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№</w:t>
            </w:r>
          </w:p>
          <w:p>
            <w:pPr>
              <w:pStyle w:val="Normal"/>
              <w:spacing w:lineRule="auto" w:line="240" w:before="0" w:after="0"/>
              <w:ind w:hanging="0" w:left="0"/>
              <w:jc w:val="center"/>
              <w:rPr/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п/п</w:t>
            </w:r>
          </w:p>
        </w:tc>
        <w:tc>
          <w:tcPr>
            <w:tcW w:w="42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Обращение</w:t>
            </w:r>
          </w:p>
        </w:tc>
        <w:tc>
          <w:tcPr>
            <w:tcW w:w="24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Заявитель</w:t>
            </w:r>
          </w:p>
        </w:tc>
        <w:tc>
          <w:tcPr>
            <w:tcW w:w="73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Направлено</w:t>
            </w:r>
          </w:p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на рассмотрение</w:t>
            </w:r>
          </w:p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</w:r>
          </w:p>
        </w:tc>
      </w:tr>
      <w:tr>
        <w:trPr>
          <w:trHeight w:val="864" w:hRule="atLeast"/>
        </w:trPr>
        <w:tc>
          <w:tcPr>
            <w:tcW w:w="7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numPr>
                <w:ilvl w:val="0"/>
                <w:numId w:val="1"/>
              </w:numPr>
              <w:tabs>
                <w:tab w:val="clear" w:pos="708"/>
                <w:tab w:val="left" w:pos="9253" w:leader="none"/>
              </w:tabs>
              <w:spacing w:lineRule="auto" w:line="240" w:before="0" w:after="0"/>
              <w:ind w:hanging="0" w:left="0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</w:r>
          </w:p>
        </w:tc>
        <w:tc>
          <w:tcPr>
            <w:tcW w:w="42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>
            <w:pPr>
              <w:pStyle w:val="Normal"/>
              <w:tabs>
                <w:tab w:val="clear" w:pos="708"/>
                <w:tab w:val="left" w:pos="4400" w:leader="none"/>
              </w:tabs>
              <w:spacing w:lineRule="auto" w:line="240" w:before="0" w:after="0"/>
              <w:ind w:hanging="0" w:left="0" w:right="0"/>
              <w:contextualSpacing/>
              <w:jc w:val="both"/>
              <w:rPr/>
            </w:pPr>
            <w:r>
              <w:rPr>
                <w:rFonts w:eastAsia="Tahoma" w:cs="Noto Sans Devanagari" w:ascii="Times New Roman" w:hAnsi="Times New Roman"/>
                <w:color w:val="auto"/>
                <w:kern w:val="0"/>
                <w:sz w:val="24"/>
                <w:szCs w:val="24"/>
                <w:lang w:val="ru-RU" w:eastAsia="en-US" w:bidi="ar-SA"/>
              </w:rPr>
              <w:t>Будут ли выделены в 2025 году средства на капитальный ремонт автомобильной дороги «Авданкасы – Моргауши – Козьмодемьянск - Сендимир» (проект имеется)?</w:t>
            </w:r>
          </w:p>
        </w:tc>
        <w:tc>
          <w:tcPr>
            <w:tcW w:w="24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>
            <w:pPr>
              <w:pStyle w:val="Normal"/>
              <w:tabs>
                <w:tab w:val="clear" w:pos="708"/>
                <w:tab w:val="left" w:pos="4400" w:leader="none"/>
              </w:tabs>
              <w:spacing w:lineRule="auto" w:line="240" w:before="0" w:after="0"/>
              <w:ind w:hanging="0" w:left="0" w:right="0"/>
              <w:contextualSpacing/>
              <w:jc w:val="left"/>
              <w:rPr/>
            </w:pPr>
            <w:r>
              <w:rPr>
                <w:rFonts w:eastAsia="Tahoma" w:cs="Noto Sans Devanagari" w:ascii="Times New Roman" w:hAnsi="Times New Roman"/>
                <w:color w:val="auto"/>
                <w:kern w:val="0"/>
                <w:sz w:val="24"/>
                <w:szCs w:val="24"/>
                <w:lang w:val="ru-RU" w:eastAsia="en-US" w:bidi="ar-SA"/>
              </w:rPr>
              <w:t>житель Моргаушского МО</w:t>
            </w:r>
          </w:p>
        </w:tc>
        <w:tc>
          <w:tcPr>
            <w:tcW w:w="73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/>
              <w:tabs>
                <w:tab w:val="clear" w:pos="708"/>
                <w:tab w:val="left" w:pos="4400" w:leader="none"/>
              </w:tabs>
              <w:suppressAutoHyphens w:val="true"/>
              <w:bidi w:val="0"/>
              <w:spacing w:lineRule="auto" w:line="240" w:before="0" w:after="0"/>
              <w:ind w:firstLine="283" w:left="0" w:right="0"/>
              <w:contextualSpacing/>
              <w:jc w:val="left"/>
              <w:rPr/>
            </w:pPr>
            <w:r>
              <w:rPr>
                <w:rFonts w:eastAsia="Tahoma" w:cs="Noto Sans Devanagari" w:ascii="Times New Roman" w:hAnsi="Times New Roman"/>
                <w:b/>
                <w:bCs/>
                <w:color w:val="auto"/>
                <w:kern w:val="0"/>
                <w:sz w:val="24"/>
                <w:szCs w:val="24"/>
                <w:lang w:val="ru-RU" w:eastAsia="en-US" w:bidi="ar-SA"/>
              </w:rPr>
              <w:t>Минтранс Чувашии</w:t>
            </w:r>
            <w:r>
              <w:rPr>
                <w:rFonts w:eastAsia="Tahoma" w:cs="Noto Sans Devanagari" w:ascii="Times New Roman" w:hAnsi="Times New Roman"/>
                <w:color w:val="auto"/>
                <w:kern w:val="0"/>
                <w:sz w:val="24"/>
                <w:szCs w:val="24"/>
                <w:lang w:val="ru-RU" w:eastAsia="en-US" w:bidi="ar-SA"/>
              </w:rPr>
              <w:t xml:space="preserve"> сообщает.</w:t>
            </w:r>
          </w:p>
          <w:p>
            <w:pPr>
              <w:pStyle w:val="Normal"/>
              <w:widowControl/>
              <w:tabs>
                <w:tab w:val="clear" w:pos="708"/>
                <w:tab w:val="left" w:pos="4400" w:leader="none"/>
              </w:tabs>
              <w:suppressAutoHyphens w:val="true"/>
              <w:bidi w:val="0"/>
              <w:spacing w:lineRule="auto" w:line="240" w:before="0" w:after="0"/>
              <w:ind w:firstLine="283" w:left="0" w:right="0"/>
              <w:contextualSpacing/>
              <w:jc w:val="both"/>
              <w:rPr/>
            </w:pPr>
            <w:r>
              <w:rPr>
                <w:rFonts w:eastAsia="Tahoma" w:cs="Noto Sans Devanagari" w:ascii="Times New Roman" w:hAnsi="Times New Roman"/>
                <w:color w:val="auto"/>
                <w:kern w:val="0"/>
                <w:sz w:val="24"/>
                <w:szCs w:val="24"/>
                <w:lang w:val="ru-RU" w:eastAsia="en-US" w:bidi="ar-SA"/>
              </w:rPr>
              <w:t>Автомобильная дорога «Авданкасы – Моргауши – Козмодемьянск – Сендимир» является дорогой общего пользования местного значения и находится в ведении администрации Моргаушского муниципального округа Чувашской Республики.</w:t>
            </w:r>
          </w:p>
          <w:p>
            <w:pPr>
              <w:pStyle w:val="Normal"/>
              <w:widowControl/>
              <w:tabs>
                <w:tab w:val="clear" w:pos="708"/>
                <w:tab w:val="left" w:pos="4400" w:leader="none"/>
              </w:tabs>
              <w:suppressAutoHyphens w:val="true"/>
              <w:bidi w:val="0"/>
              <w:spacing w:lineRule="auto" w:line="240" w:before="0" w:after="0"/>
              <w:ind w:firstLine="283" w:left="0" w:right="0"/>
              <w:contextualSpacing/>
              <w:jc w:val="both"/>
              <w:rPr/>
            </w:pPr>
            <w:r>
              <w:rPr>
                <w:rFonts w:eastAsia="Tahoma" w:cs="Noto Sans Devanagari" w:ascii="Times New Roman" w:hAnsi="Times New Roman"/>
                <w:color w:val="auto"/>
                <w:kern w:val="0"/>
                <w:sz w:val="24"/>
                <w:szCs w:val="24"/>
                <w:lang w:val="ru-RU" w:eastAsia="en-US" w:bidi="ar-SA"/>
              </w:rPr>
              <w:t>По информации администрации Моргаушского муниципального округа данная дорога с твердым покрытием, относится к V технической категории, протяженность - 3,15 км, ширина от 3,5 до 4,5 м. Согласно разработанной в 2022 г. проектной документации на данной автомобильной дороге требуется усиление и восстановление дорожной одежды с доведением до параметров заданной категории, устройство наружного освещения, остановочных площадок с павильонами и замена водопропускных сооружений. Стоимость капитального ремонта в ценах IV кв. 2022 г. – 79 млн. рублей (в текущих ценах порядка 94 млн. рублей).</w:t>
            </w:r>
          </w:p>
          <w:p>
            <w:pPr>
              <w:pStyle w:val="Normal"/>
              <w:widowControl/>
              <w:tabs>
                <w:tab w:val="clear" w:pos="708"/>
                <w:tab w:val="left" w:pos="4400" w:leader="none"/>
              </w:tabs>
              <w:suppressAutoHyphens w:val="true"/>
              <w:bidi w:val="0"/>
              <w:spacing w:lineRule="auto" w:line="240" w:before="0" w:after="0"/>
              <w:ind w:firstLine="283" w:left="0" w:right="0"/>
              <w:contextualSpacing/>
              <w:jc w:val="both"/>
              <w:rPr/>
            </w:pPr>
            <w:r>
              <w:rPr>
                <w:rFonts w:eastAsia="Tahoma" w:cs="Noto Sans Devanagari" w:ascii="Times New Roman" w:hAnsi="Times New Roman"/>
                <w:color w:val="auto"/>
                <w:kern w:val="0"/>
                <w:sz w:val="24"/>
                <w:szCs w:val="24"/>
                <w:lang w:val="ru-RU" w:eastAsia="en-US" w:bidi="ar-SA"/>
              </w:rPr>
              <w:t>В целях удешевления стоимости объекта, в конце 2024 г. администрации Моргаушского муниципального округа было рекомендовано произвести пересчет сметной стоимости в текущий уровень цен в части объемов работ по приведению проезжей части в нормативное состояние с исключением объемов работ по устройству наружного освещения, остановочных площадок с павильонами и водопропускных труб (разделение на этапы), для последующего рассмотрения вопроса включения объекта в план работ на 2025-2027 гг. Предложений по данному вопросу в министерство не поступало.</w:t>
            </w:r>
          </w:p>
          <w:p>
            <w:pPr>
              <w:pStyle w:val="Normal"/>
              <w:widowControl/>
              <w:tabs>
                <w:tab w:val="clear" w:pos="708"/>
                <w:tab w:val="left" w:pos="4400" w:leader="none"/>
              </w:tabs>
              <w:suppressAutoHyphens w:val="true"/>
              <w:bidi w:val="0"/>
              <w:spacing w:lineRule="auto" w:line="240" w:before="0" w:after="0"/>
              <w:ind w:firstLine="283" w:left="0" w:right="0"/>
              <w:contextualSpacing/>
              <w:jc w:val="both"/>
              <w:rPr/>
            </w:pPr>
            <w:r>
              <w:rPr>
                <w:rFonts w:eastAsia="Tahoma" w:cs="Noto Sans Devanagari" w:ascii="Times New Roman" w:hAnsi="Times New Roman"/>
                <w:color w:val="auto"/>
                <w:kern w:val="0"/>
                <w:sz w:val="24"/>
                <w:szCs w:val="24"/>
                <w:lang w:val="ru-RU" w:eastAsia="en-US" w:bidi="ar-SA"/>
              </w:rPr>
              <w:t>Дополнительно сообщаем, что в целях оказания финансовой помощи на осуществление дорожной деятельности администрациям муниципальных округов ежегодно выделяются субсидии из Дорожного фонда Чувашской Республики.</w:t>
            </w:r>
          </w:p>
          <w:p>
            <w:pPr>
              <w:pStyle w:val="Normal"/>
              <w:widowControl/>
              <w:tabs>
                <w:tab w:val="clear" w:pos="708"/>
                <w:tab w:val="left" w:pos="4400" w:leader="none"/>
              </w:tabs>
              <w:suppressAutoHyphens w:val="true"/>
              <w:bidi w:val="0"/>
              <w:spacing w:lineRule="auto" w:line="240" w:before="0" w:after="0"/>
              <w:ind w:firstLine="283" w:left="0" w:right="0"/>
              <w:contextualSpacing/>
              <w:jc w:val="both"/>
              <w:rPr/>
            </w:pPr>
            <w:r>
              <w:rPr>
                <w:rFonts w:eastAsia="Tahoma" w:cs="Noto Sans Devanagari" w:ascii="Times New Roman" w:hAnsi="Times New Roman"/>
                <w:color w:val="auto"/>
                <w:kern w:val="0"/>
                <w:sz w:val="24"/>
                <w:szCs w:val="24"/>
                <w:lang w:val="ru-RU" w:eastAsia="en-US" w:bidi="ar-SA"/>
              </w:rPr>
              <w:t>Приоритетность распределения выделенных средств на осуществление дорожной деятельности находится в компетенции органа местного самоуправления. Так, согласно закону о бюджете на 2025-2027 гг. бюджету Моргаушского муниципального округа в 2025-2027 гг. выделены средства 263 млн. рублей, в том числе:</w:t>
            </w:r>
          </w:p>
          <w:p>
            <w:pPr>
              <w:pStyle w:val="Normal"/>
              <w:widowControl/>
              <w:tabs>
                <w:tab w:val="clear" w:pos="708"/>
                <w:tab w:val="left" w:pos="4400" w:leader="none"/>
              </w:tabs>
              <w:suppressAutoHyphens w:val="true"/>
              <w:bidi w:val="0"/>
              <w:spacing w:lineRule="auto" w:line="240" w:before="0" w:after="0"/>
              <w:ind w:firstLine="283" w:left="0" w:right="0"/>
              <w:contextualSpacing/>
              <w:jc w:val="both"/>
              <w:rPr/>
            </w:pPr>
            <w:r>
              <w:rPr>
                <w:rFonts w:eastAsia="Tahoma" w:cs="Noto Sans Devanagari" w:ascii="Times New Roman" w:hAnsi="Times New Roman"/>
                <w:color w:val="auto"/>
                <w:kern w:val="0"/>
                <w:sz w:val="24"/>
                <w:szCs w:val="24"/>
                <w:lang w:val="ru-RU" w:eastAsia="en-US" w:bidi="ar-SA"/>
              </w:rPr>
              <w:t>на содержание автомобильных дорог общего пользования местного значения по 40,6 млн. рублей ежегодно (всего в 2025-2027 гг. – 121,8 млн. рублей);</w:t>
            </w:r>
          </w:p>
          <w:p>
            <w:pPr>
              <w:pStyle w:val="Normal"/>
              <w:widowControl/>
              <w:tabs>
                <w:tab w:val="clear" w:pos="708"/>
                <w:tab w:val="left" w:pos="4400" w:leader="none"/>
              </w:tabs>
              <w:suppressAutoHyphens w:val="true"/>
              <w:bidi w:val="0"/>
              <w:spacing w:lineRule="auto" w:line="240" w:before="0" w:after="0"/>
              <w:ind w:firstLine="283" w:left="0" w:right="0"/>
              <w:contextualSpacing/>
              <w:jc w:val="both"/>
              <w:rPr/>
            </w:pPr>
            <w:r>
              <w:rPr>
                <w:rFonts w:eastAsia="Tahoma" w:cs="Noto Sans Devanagari" w:ascii="Times New Roman" w:hAnsi="Times New Roman"/>
                <w:color w:val="auto"/>
                <w:kern w:val="0"/>
                <w:sz w:val="24"/>
                <w:szCs w:val="24"/>
                <w:lang w:val="ru-RU" w:eastAsia="en-US" w:bidi="ar-SA"/>
              </w:rPr>
              <w:t>на капитальный ремонт и ремонт автомобильных дорог общего пользования местного значения в 2025 году 19,8 млн. рублей, в 2026-2027 гг. по 21,4 млн. рублей (всего в период 2025-2027 гг. – 62,6 млн. рублей);</w:t>
            </w:r>
          </w:p>
          <w:p>
            <w:pPr>
              <w:pStyle w:val="Normal"/>
              <w:widowControl/>
              <w:tabs>
                <w:tab w:val="clear" w:pos="708"/>
                <w:tab w:val="left" w:pos="4400" w:leader="none"/>
              </w:tabs>
              <w:suppressAutoHyphens w:val="true"/>
              <w:bidi w:val="0"/>
              <w:spacing w:lineRule="auto" w:line="240" w:before="0" w:after="0"/>
              <w:ind w:firstLine="283" w:left="0" w:right="0"/>
              <w:contextualSpacing/>
              <w:jc w:val="both"/>
              <w:rPr/>
            </w:pPr>
            <w:r>
              <w:rPr>
                <w:rFonts w:eastAsia="Tahoma" w:cs="Noto Sans Devanagari" w:ascii="Times New Roman" w:hAnsi="Times New Roman"/>
                <w:color w:val="auto"/>
                <w:kern w:val="0"/>
                <w:sz w:val="24"/>
                <w:szCs w:val="24"/>
                <w:lang w:val="ru-RU" w:eastAsia="en-US" w:bidi="ar-SA"/>
              </w:rPr>
              <w:t>на приведение в нормативное состояние автомобильных дорог общего пользования местного значения в рамках национального проекта «Инфраструктура для жизни» в 2025-2026 гг. по 25 млн. рублей (всего в период 2025-2027 гг. – 75 млн. рублей);</w:t>
            </w:r>
          </w:p>
          <w:p>
            <w:pPr>
              <w:pStyle w:val="Normal"/>
              <w:widowControl/>
              <w:tabs>
                <w:tab w:val="clear" w:pos="708"/>
                <w:tab w:val="left" w:pos="4400" w:leader="none"/>
              </w:tabs>
              <w:suppressAutoHyphens w:val="true"/>
              <w:bidi w:val="0"/>
              <w:spacing w:lineRule="auto" w:line="240" w:before="0" w:after="0"/>
              <w:ind w:firstLine="283" w:left="0" w:right="0"/>
              <w:contextualSpacing/>
              <w:jc w:val="both"/>
              <w:rPr/>
            </w:pPr>
            <w:r>
              <w:rPr>
                <w:rFonts w:eastAsia="Tahoma" w:cs="Noto Sans Devanagari" w:ascii="Times New Roman" w:hAnsi="Times New Roman"/>
                <w:color w:val="auto"/>
                <w:kern w:val="0"/>
                <w:sz w:val="24"/>
                <w:szCs w:val="24"/>
                <w:lang w:val="ru-RU" w:eastAsia="en-US" w:bidi="ar-SA"/>
              </w:rPr>
              <w:t>на капитальный ремонт и ремонт дворовых территорий МКД и проездов к ним по 1,2 млн. рублей ежегодно (всего в 2025-2027 гг. – 3,6 млн. рублей).</w:t>
            </w:r>
          </w:p>
        </w:tc>
      </w:tr>
      <w:tr>
        <w:trPr>
          <w:trHeight w:val="864" w:hRule="atLeast"/>
        </w:trPr>
        <w:tc>
          <w:tcPr>
            <w:tcW w:w="7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numPr>
                <w:ilvl w:val="0"/>
                <w:numId w:val="1"/>
              </w:numPr>
              <w:tabs>
                <w:tab w:val="clear" w:pos="708"/>
                <w:tab w:val="left" w:pos="9253" w:leader="none"/>
              </w:tabs>
              <w:spacing w:lineRule="auto" w:line="240" w:before="0" w:after="0"/>
              <w:ind w:hanging="0" w:left="0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</w:r>
          </w:p>
        </w:tc>
        <w:tc>
          <w:tcPr>
            <w:tcW w:w="42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tabs>
                <w:tab w:val="clear" w:pos="708"/>
                <w:tab w:val="left" w:pos="4400" w:leader="none"/>
              </w:tabs>
              <w:spacing w:lineRule="auto" w:line="240" w:before="0" w:after="0"/>
              <w:ind w:hanging="0" w:left="0" w:right="0"/>
              <w:contextualSpacing/>
              <w:jc w:val="both"/>
              <w:rPr/>
            </w:pPr>
            <w:r>
              <w:rPr>
                <w:rFonts w:ascii="Times New Roman" w:hAnsi="Times New Roman"/>
                <w:sz w:val="24"/>
                <w:szCs w:val="24"/>
              </w:rPr>
              <w:t>Планируется ли установка светофора для перехода пешеходов на трассе М-7 в д. Липово Еметкинского территориального отдела?</w:t>
            </w:r>
          </w:p>
        </w:tc>
        <w:tc>
          <w:tcPr>
            <w:tcW w:w="24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tabs>
                <w:tab w:val="clear" w:pos="708"/>
                <w:tab w:val="left" w:pos="4400" w:leader="none"/>
              </w:tabs>
              <w:spacing w:lineRule="auto" w:line="240" w:before="0" w:after="0"/>
              <w:ind w:hanging="0" w:left="0" w:right="0"/>
              <w:contextualSpacing/>
              <w:jc w:val="left"/>
              <w:rPr/>
            </w:pPr>
            <w:r>
              <w:rPr>
                <w:rFonts w:ascii="Times New Roman" w:hAnsi="Times New Roman"/>
                <w:sz w:val="24"/>
                <w:szCs w:val="24"/>
              </w:rPr>
              <w:t>жительница Козловского МО</w:t>
            </w:r>
          </w:p>
        </w:tc>
        <w:tc>
          <w:tcPr>
            <w:tcW w:w="73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/>
              <w:tabs>
                <w:tab w:val="clear" w:pos="708"/>
                <w:tab w:val="left" w:pos="4400" w:leader="none"/>
              </w:tabs>
              <w:suppressAutoHyphens w:val="true"/>
              <w:bidi w:val="0"/>
              <w:spacing w:lineRule="auto" w:line="240" w:before="0" w:after="0"/>
              <w:ind w:firstLine="283" w:left="0" w:right="0"/>
              <w:contextualSpacing/>
              <w:jc w:val="both"/>
              <w:rPr/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 xml:space="preserve">Минтранс Чувашии </w:t>
            </w:r>
            <w:r>
              <w:rPr>
                <w:rFonts w:ascii="Times New Roman" w:hAnsi="Times New Roman"/>
                <w:sz w:val="24"/>
                <w:szCs w:val="24"/>
              </w:rPr>
              <w:t>сообщает.</w:t>
            </w:r>
          </w:p>
          <w:p>
            <w:pPr>
              <w:pStyle w:val="Normal"/>
              <w:widowControl/>
              <w:tabs>
                <w:tab w:val="clear" w:pos="708"/>
                <w:tab w:val="left" w:pos="4400" w:leader="none"/>
              </w:tabs>
              <w:suppressAutoHyphens w:val="true"/>
              <w:bidi w:val="0"/>
              <w:spacing w:lineRule="auto" w:line="240" w:before="0" w:after="0"/>
              <w:ind w:firstLine="283" w:left="0" w:right="0"/>
              <w:contextualSpacing/>
              <w:jc w:val="both"/>
              <w:rPr/>
            </w:pPr>
            <w:r>
              <w:rPr>
                <w:rFonts w:ascii="Times New Roman" w:hAnsi="Times New Roman"/>
                <w:sz w:val="24"/>
                <w:szCs w:val="24"/>
              </w:rPr>
              <w:t>Автомобильная дорога общего пользования федерального значения М-7 «Волга» Москва – Владимир – Нижний Новгород – Казань – Уфа проходящая по территории Чувашской Республики находится в ведении Федерального казенного учреждения «Федеральное управление автомобильных дорог ВолгоВятского региона Федерального дорожного агентства» (далее – ФКУ «ВолгоВятскуправтодор»).</w:t>
            </w:r>
          </w:p>
          <w:p>
            <w:pPr>
              <w:pStyle w:val="Normal"/>
              <w:widowControl/>
              <w:tabs>
                <w:tab w:val="clear" w:pos="708"/>
                <w:tab w:val="left" w:pos="4400" w:leader="none"/>
              </w:tabs>
              <w:suppressAutoHyphens w:val="true"/>
              <w:bidi w:val="0"/>
              <w:spacing w:lineRule="auto" w:line="240" w:before="0" w:after="0"/>
              <w:ind w:firstLine="283" w:left="0" w:right="0"/>
              <w:contextualSpacing/>
              <w:jc w:val="both"/>
              <w:rPr/>
            </w:pPr>
            <w:r>
              <w:rPr>
                <w:rFonts w:ascii="Times New Roman" w:hAnsi="Times New Roman"/>
                <w:sz w:val="24"/>
                <w:szCs w:val="24"/>
              </w:rPr>
              <w:t>В соответствии со ст. 11, 32 Федерального закона от 08.11.2007 № 257-ФЗ «Об автомобильных дорогах и о дорожной деятельности в Российской Федерации», дорожная деятельность в отношении автомобильных дорог федерального значения отнесена к полномочиям органов государственной власти Российской Федерации - Федерального дорожного агентства и обеспечивается за счет средств федерального бюджета.</w:t>
            </w:r>
          </w:p>
          <w:p>
            <w:pPr>
              <w:pStyle w:val="Normal"/>
              <w:widowControl/>
              <w:tabs>
                <w:tab w:val="clear" w:pos="708"/>
                <w:tab w:val="left" w:pos="4400" w:leader="none"/>
              </w:tabs>
              <w:suppressAutoHyphens w:val="true"/>
              <w:bidi w:val="0"/>
              <w:spacing w:lineRule="auto" w:line="240" w:before="0" w:after="0"/>
              <w:ind w:firstLine="283" w:left="0" w:right="0"/>
              <w:contextualSpacing/>
              <w:jc w:val="both"/>
              <w:rPr/>
            </w:pPr>
            <w:r>
              <w:rPr>
                <w:rFonts w:ascii="Times New Roman" w:hAnsi="Times New Roman"/>
                <w:sz w:val="24"/>
                <w:szCs w:val="24"/>
              </w:rPr>
              <w:t>По информации ФКУ «Волго-Вятскуправтодор» на сегодняшний день направлена заявка в Росавтодор Минтранса России на выделение дополнительных средств с федерального бюджета на реализацию мероприятий по устройству светофорных объектов на автомобильной дороге М-7 «Волга» Москва – Владимир – Нижний Новгород – Казань – Уфа проходящая по территории Чувашской Республики.</w:t>
            </w:r>
          </w:p>
          <w:p>
            <w:pPr>
              <w:pStyle w:val="Normal"/>
              <w:widowControl/>
              <w:tabs>
                <w:tab w:val="clear" w:pos="708"/>
                <w:tab w:val="left" w:pos="4400" w:leader="none"/>
              </w:tabs>
              <w:suppressAutoHyphens w:val="true"/>
              <w:bidi w:val="0"/>
              <w:spacing w:lineRule="auto" w:line="240" w:before="0" w:after="0"/>
              <w:ind w:firstLine="283" w:left="0" w:right="0"/>
              <w:contextualSpacing/>
              <w:jc w:val="both"/>
              <w:rPr/>
            </w:pPr>
            <w:r>
              <w:rPr>
                <w:rFonts w:ascii="Times New Roman" w:hAnsi="Times New Roman"/>
                <w:sz w:val="24"/>
                <w:szCs w:val="24"/>
              </w:rPr>
              <w:t>Устройство светофора на пешеходном переходе в переделах н.п. Липово запланировано в рамках вышесказанного проекта в 2025 году.</w:t>
            </w:r>
          </w:p>
        </w:tc>
      </w:tr>
      <w:tr>
        <w:trPr>
          <w:trHeight w:val="864" w:hRule="atLeast"/>
        </w:trPr>
        <w:tc>
          <w:tcPr>
            <w:tcW w:w="7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numPr>
                <w:ilvl w:val="0"/>
                <w:numId w:val="1"/>
              </w:numPr>
              <w:tabs>
                <w:tab w:val="clear" w:pos="708"/>
                <w:tab w:val="left" w:pos="9253" w:leader="none"/>
              </w:tabs>
              <w:spacing w:lineRule="auto" w:line="240" w:before="0" w:after="0"/>
              <w:ind w:hanging="0" w:left="0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</w:r>
          </w:p>
        </w:tc>
        <w:tc>
          <w:tcPr>
            <w:tcW w:w="42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>
            <w:pPr>
              <w:pStyle w:val="Normal"/>
              <w:tabs>
                <w:tab w:val="clear" w:pos="708"/>
                <w:tab w:val="left" w:pos="4400" w:leader="none"/>
              </w:tabs>
              <w:spacing w:lineRule="auto" w:line="240" w:before="0" w:after="0"/>
              <w:ind w:hanging="0" w:left="0" w:right="0"/>
              <w:contextualSpacing/>
              <w:jc w:val="both"/>
              <w:rPr/>
            </w:pPr>
            <w:r>
              <w:rPr>
                <w:rFonts w:eastAsia="Tahoma" w:cs="Noto Sans Devanagari" w:ascii="Times New Roman" w:hAnsi="Times New Roman"/>
                <w:color w:val="auto"/>
                <w:kern w:val="0"/>
                <w:sz w:val="24"/>
                <w:szCs w:val="24"/>
                <w:lang w:val="ru-RU" w:eastAsia="en-US" w:bidi="ar-SA"/>
              </w:rPr>
              <w:t>На днях опубликовано Постановление Кабинета Министров Чувашкой Республики о том, что 60 школ будет отремонтированы в период 2025-2027 годы. Нам обещали, что Порецкая школа будет отремонтирована в 2024 году. Однако в этом перечне ее нет. Почему?</w:t>
            </w:r>
          </w:p>
        </w:tc>
        <w:tc>
          <w:tcPr>
            <w:tcW w:w="24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>
            <w:pPr>
              <w:pStyle w:val="Normal"/>
              <w:tabs>
                <w:tab w:val="clear" w:pos="708"/>
                <w:tab w:val="left" w:pos="4400" w:leader="none"/>
              </w:tabs>
              <w:spacing w:lineRule="auto" w:line="240" w:before="0" w:after="0"/>
              <w:ind w:hanging="0" w:left="0" w:right="0"/>
              <w:contextualSpacing/>
              <w:jc w:val="left"/>
              <w:rPr/>
            </w:pPr>
            <w:r>
              <w:rPr>
                <w:rFonts w:eastAsia="Tahoma" w:cs="Noto Sans Devanagari" w:ascii="Times New Roman" w:hAnsi="Times New Roman"/>
                <w:color w:val="auto"/>
                <w:kern w:val="0"/>
                <w:sz w:val="24"/>
                <w:szCs w:val="24"/>
                <w:lang w:val="ru-RU" w:eastAsia="en-US" w:bidi="ar-SA"/>
              </w:rPr>
              <w:t>жительница Порецкого МО</w:t>
            </w:r>
          </w:p>
        </w:tc>
        <w:tc>
          <w:tcPr>
            <w:tcW w:w="73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/>
              <w:tabs>
                <w:tab w:val="clear" w:pos="708"/>
                <w:tab w:val="left" w:pos="4400" w:leader="none"/>
              </w:tabs>
              <w:suppressAutoHyphens w:val="true"/>
              <w:bidi w:val="0"/>
              <w:spacing w:lineRule="auto" w:line="240" w:before="0" w:after="0"/>
              <w:ind w:firstLine="283" w:left="0" w:right="0"/>
              <w:contextualSpacing/>
              <w:jc w:val="left"/>
              <w:rPr/>
            </w:pPr>
            <w:r>
              <w:rPr>
                <w:rFonts w:eastAsia="Tahoma" w:cs="Noto Sans Devanagari" w:ascii="Times New Roman" w:hAnsi="Times New Roman"/>
                <w:b/>
                <w:bCs/>
                <w:color w:val="auto"/>
                <w:kern w:val="0"/>
                <w:sz w:val="24"/>
                <w:szCs w:val="24"/>
                <w:lang w:val="ru-RU" w:eastAsia="en-US" w:bidi="ar-SA"/>
              </w:rPr>
              <w:t>Минобразования Чувашии</w:t>
            </w:r>
            <w:r>
              <w:rPr>
                <w:rFonts w:eastAsia="Tahoma" w:cs="Noto Sans Devanagari" w:ascii="Times New Roman" w:hAnsi="Times New Roman"/>
                <w:color w:val="auto"/>
                <w:kern w:val="0"/>
                <w:sz w:val="24"/>
                <w:szCs w:val="24"/>
                <w:lang w:val="ru-RU" w:eastAsia="en-US" w:bidi="ar-SA"/>
              </w:rPr>
              <w:t xml:space="preserve"> сообщает.</w:t>
            </w:r>
          </w:p>
          <w:p>
            <w:pPr>
              <w:pStyle w:val="Normal"/>
              <w:widowControl/>
              <w:tabs>
                <w:tab w:val="clear" w:pos="708"/>
                <w:tab w:val="left" w:pos="4400" w:leader="none"/>
              </w:tabs>
              <w:suppressAutoHyphens w:val="true"/>
              <w:bidi w:val="0"/>
              <w:spacing w:lineRule="auto" w:line="240" w:before="0" w:after="0"/>
              <w:ind w:firstLine="283" w:left="0" w:right="0"/>
              <w:contextualSpacing/>
              <w:jc w:val="both"/>
              <w:rPr/>
            </w:pPr>
            <w:r>
              <w:rPr>
                <w:rFonts w:eastAsia="Tahoma" w:cs="Noto Sans Devanagari" w:ascii="Times New Roman" w:hAnsi="Times New Roman"/>
                <w:color w:val="auto"/>
                <w:kern w:val="0"/>
                <w:sz w:val="24"/>
                <w:szCs w:val="24"/>
                <w:lang w:val="ru-RU" w:eastAsia="en-US" w:bidi="ar-SA"/>
              </w:rPr>
              <w:t>В июле 2024 года МАОУ «Порецкая СОШ» Порецкого муниципального округа была включена в заявку Чувашской Республики, направленную в адрес Министерства просвещения Российской Федерации для участия в дополнительном отборе общеобразовательных учреждений Чувашской Республики, на предоставление субсидии из федерального бюджета, бюджетам субъектов Российской Федерации на реализацию региональных проектов, направленных на проведение капитального ремонта и оснащение зданий региональных (муниципальных) общеобразовательных организаций в рамках государственной программы Российской Федерации «Развитие образования» по объектам с однолетним циклом производства ремонтных работ на 2025 год.</w:t>
            </w:r>
          </w:p>
          <w:p>
            <w:pPr>
              <w:pStyle w:val="Normal"/>
              <w:widowControl/>
              <w:tabs>
                <w:tab w:val="clear" w:pos="708"/>
                <w:tab w:val="left" w:pos="4400" w:leader="none"/>
              </w:tabs>
              <w:suppressAutoHyphens w:val="true"/>
              <w:bidi w:val="0"/>
              <w:spacing w:lineRule="auto" w:line="240" w:before="0" w:after="0"/>
              <w:ind w:firstLine="283" w:left="0" w:right="0"/>
              <w:contextualSpacing/>
              <w:jc w:val="both"/>
              <w:rPr/>
            </w:pPr>
            <w:r>
              <w:rPr>
                <w:rFonts w:eastAsia="Tahoma" w:cs="Noto Sans Devanagari" w:ascii="Times New Roman" w:hAnsi="Times New Roman"/>
                <w:color w:val="auto"/>
                <w:kern w:val="0"/>
                <w:sz w:val="24"/>
                <w:szCs w:val="24"/>
                <w:lang w:val="ru-RU" w:eastAsia="en-US" w:bidi="ar-SA"/>
              </w:rPr>
              <w:t>Данный объект по результатам рассмотрения Минпросвещением России отбор не прошел. При объявлении дополнительного отбора данная школа будет включена в заявку Чувашской Республики повторно.</w:t>
            </w:r>
          </w:p>
        </w:tc>
      </w:tr>
      <w:tr>
        <w:trPr>
          <w:trHeight w:val="864" w:hRule="atLeast"/>
        </w:trPr>
        <w:tc>
          <w:tcPr>
            <w:tcW w:w="7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numPr>
                <w:ilvl w:val="0"/>
                <w:numId w:val="1"/>
              </w:numPr>
              <w:tabs>
                <w:tab w:val="clear" w:pos="708"/>
                <w:tab w:val="left" w:pos="9253" w:leader="none"/>
              </w:tabs>
              <w:spacing w:lineRule="auto" w:line="240" w:before="0" w:after="0"/>
              <w:ind w:hanging="0" w:left="0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</w:r>
          </w:p>
        </w:tc>
        <w:tc>
          <w:tcPr>
            <w:tcW w:w="4296" w:type="dxa"/>
            <w:tcBorders>
              <w:left w:val="single" w:sz="4" w:space="0" w:color="000000"/>
              <w:bottom w:val="single" w:sz="4" w:space="0" w:color="000000"/>
            </w:tcBorders>
          </w:tcPr>
          <w:p>
            <w:pPr>
              <w:pStyle w:val="Normal"/>
              <w:tabs>
                <w:tab w:val="clear" w:pos="708"/>
                <w:tab w:val="left" w:pos="4400" w:leader="none"/>
              </w:tabs>
              <w:spacing w:lineRule="auto" w:line="240" w:before="0" w:after="0"/>
              <w:ind w:hanging="0" w:left="0" w:right="0"/>
              <w:contextualSpacing/>
              <w:jc w:val="both"/>
              <w:rPr/>
            </w:pPr>
            <w:r>
              <w:rPr>
                <w:rFonts w:eastAsia="Tahoma" w:cs="Noto Sans Devanagari" w:ascii="Times New Roman" w:hAnsi="Times New Roman"/>
                <w:color w:val="auto"/>
                <w:kern w:val="0"/>
                <w:sz w:val="24"/>
                <w:szCs w:val="24"/>
                <w:lang w:val="ru-RU" w:eastAsia="en-US" w:bidi="ar-SA"/>
              </w:rPr>
              <w:t>В Порецком муниципальном округе почти год назад освободилось здание Росреестра, которое раньше принадлежало муниципалитету. Сейчас у муниципалитета имеется потребность в этом здании для размещения в нем организаций социальной сферы. Процедура передачи этого здания в муниципалитет слишком затянулась. Просим помочь ускорить разрешение этого вопроса.</w:t>
            </w:r>
          </w:p>
        </w:tc>
        <w:tc>
          <w:tcPr>
            <w:tcW w:w="2488" w:type="dxa"/>
            <w:tcBorders>
              <w:left w:val="single" w:sz="4" w:space="0" w:color="000000"/>
              <w:bottom w:val="single" w:sz="4" w:space="0" w:color="000000"/>
            </w:tcBorders>
          </w:tcPr>
          <w:p>
            <w:pPr>
              <w:pStyle w:val="Normal"/>
              <w:tabs>
                <w:tab w:val="clear" w:pos="708"/>
                <w:tab w:val="left" w:pos="4400" w:leader="none"/>
              </w:tabs>
              <w:spacing w:lineRule="auto" w:line="240" w:before="0" w:after="0"/>
              <w:ind w:hanging="0" w:left="0" w:right="0"/>
              <w:contextualSpacing/>
              <w:jc w:val="left"/>
              <w:rPr/>
            </w:pPr>
            <w:r>
              <w:rPr>
                <w:rFonts w:eastAsia="Tahoma" w:cs="Noto Sans Devanagari" w:ascii="Times New Roman" w:hAnsi="Times New Roman"/>
                <w:color w:val="auto"/>
                <w:kern w:val="0"/>
                <w:sz w:val="24"/>
                <w:szCs w:val="24"/>
                <w:lang w:val="ru-RU" w:eastAsia="en-US" w:bidi="ar-SA"/>
              </w:rPr>
              <w:t>жительница Порецкого МО</w:t>
            </w:r>
          </w:p>
        </w:tc>
        <w:tc>
          <w:tcPr>
            <w:tcW w:w="737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/>
              <w:tabs>
                <w:tab w:val="clear" w:pos="708"/>
                <w:tab w:val="left" w:pos="4400" w:leader="none"/>
              </w:tabs>
              <w:suppressAutoHyphens w:val="true"/>
              <w:bidi w:val="0"/>
              <w:spacing w:lineRule="auto" w:line="240" w:before="0" w:after="0"/>
              <w:ind w:firstLine="283" w:left="0" w:right="0"/>
              <w:contextualSpacing/>
              <w:jc w:val="both"/>
              <w:rPr/>
            </w:pPr>
            <w:r>
              <w:rPr>
                <w:rFonts w:eastAsia="Tahoma" w:cs="Noto Sans Devanagari" w:ascii="Times New Roman" w:hAnsi="Times New Roman"/>
                <w:b/>
                <w:bCs/>
                <w:color w:val="auto"/>
                <w:kern w:val="0"/>
                <w:sz w:val="24"/>
                <w:szCs w:val="24"/>
                <w:lang w:val="ru-RU" w:eastAsia="en-US" w:bidi="ar-SA"/>
              </w:rPr>
              <w:t>Минэкономразвития Чувашии</w:t>
            </w:r>
            <w:r>
              <w:rPr>
                <w:rFonts w:eastAsia="Tahoma" w:cs="Noto Sans Devanagari" w:ascii="Times New Roman" w:hAnsi="Times New Roman"/>
                <w:color w:val="auto"/>
                <w:kern w:val="0"/>
                <w:sz w:val="24"/>
                <w:szCs w:val="24"/>
                <w:lang w:val="ru-RU" w:eastAsia="en-US" w:bidi="ar-SA"/>
              </w:rPr>
              <w:t xml:space="preserve"> информирует о следующем.</w:t>
            </w:r>
          </w:p>
          <w:p>
            <w:pPr>
              <w:pStyle w:val="Normal"/>
              <w:widowControl/>
              <w:tabs>
                <w:tab w:val="clear" w:pos="708"/>
                <w:tab w:val="left" w:pos="4400" w:leader="none"/>
              </w:tabs>
              <w:suppressAutoHyphens w:val="true"/>
              <w:bidi w:val="0"/>
              <w:spacing w:lineRule="auto" w:line="240" w:before="0" w:after="0"/>
              <w:ind w:firstLine="283" w:left="0" w:right="0"/>
              <w:contextualSpacing/>
              <w:jc w:val="both"/>
              <w:rPr/>
            </w:pPr>
            <w:r>
              <w:rPr>
                <w:rFonts w:eastAsia="Tahoma" w:cs="Noto Sans Devanagari" w:ascii="Times New Roman" w:hAnsi="Times New Roman"/>
                <w:color w:val="auto"/>
                <w:kern w:val="0"/>
                <w:sz w:val="24"/>
                <w:szCs w:val="24"/>
                <w:lang w:val="ru-RU" w:eastAsia="en-US" w:bidi="ar-SA"/>
              </w:rPr>
              <w:t>Согласно данным Единого государственного реестра недвижимости указанные объекты находятся в федеральной собственности и предоставлены на праве оперативного управления Управлению федеральной службы государственной регистрации, кадастра и картографии по Чувашской Республике.</w:t>
            </w:r>
          </w:p>
          <w:p>
            <w:pPr>
              <w:pStyle w:val="Normal"/>
              <w:widowControl/>
              <w:tabs>
                <w:tab w:val="clear" w:pos="708"/>
                <w:tab w:val="left" w:pos="4400" w:leader="none"/>
              </w:tabs>
              <w:suppressAutoHyphens w:val="true"/>
              <w:bidi w:val="0"/>
              <w:spacing w:lineRule="auto" w:line="240" w:before="0" w:after="0"/>
              <w:ind w:firstLine="283" w:left="0" w:right="0"/>
              <w:contextualSpacing/>
              <w:jc w:val="both"/>
              <w:rPr/>
            </w:pPr>
            <w:r>
              <w:rPr>
                <w:rFonts w:eastAsia="Tahoma" w:cs="Noto Sans Devanagari" w:ascii="Times New Roman" w:hAnsi="Times New Roman"/>
                <w:color w:val="auto"/>
                <w:kern w:val="0"/>
                <w:sz w:val="24"/>
                <w:szCs w:val="24"/>
                <w:lang w:val="ru-RU" w:eastAsia="en-US" w:bidi="ar-SA"/>
              </w:rPr>
              <w:t>По информации администрации Порецкого муниципального округа Чувашской Республики (далее – муниципальное образование) в марте, мае 2024 года и феврале 2025 года муниципальное образование обращалось в Управление федеральной службы государственной регистрации, кадастра и картографии по Чувашской Республике и Межрегиональное территориальное управление Федерального агентства по управлению государственным имуществом в Республике Мордовия, Республике Марий Эл, Чувашской Республике и Пензенской области (далее - МТУ Росимущества) по вопросу заключения договора безвозмездного пользования данными объектами недвижимого имущества.</w:t>
            </w:r>
          </w:p>
          <w:p>
            <w:pPr>
              <w:pStyle w:val="Normal"/>
              <w:widowControl/>
              <w:tabs>
                <w:tab w:val="clear" w:pos="708"/>
                <w:tab w:val="left" w:pos="4400" w:leader="none"/>
              </w:tabs>
              <w:suppressAutoHyphens w:val="true"/>
              <w:bidi w:val="0"/>
              <w:spacing w:lineRule="auto" w:line="240" w:before="0" w:after="0"/>
              <w:ind w:firstLine="283" w:left="0" w:right="0"/>
              <w:contextualSpacing/>
              <w:jc w:val="both"/>
              <w:rPr/>
            </w:pPr>
            <w:r>
              <w:rPr>
                <w:rFonts w:eastAsia="Tahoma" w:cs="Noto Sans Devanagari" w:ascii="Times New Roman" w:hAnsi="Times New Roman"/>
                <w:color w:val="auto"/>
                <w:kern w:val="0"/>
                <w:sz w:val="24"/>
                <w:szCs w:val="24"/>
                <w:lang w:val="ru-RU" w:eastAsia="en-US" w:bidi="ar-SA"/>
              </w:rPr>
              <w:t>В целях оказания поддержки Порецкому муниципальному округу Чувашской Республики в решении вопроса передачи объектов недвижимого имущества в пользование администрации муниципального образования для размещения муниципального учреждения в сфере дополнительного образования Минэкономразвития Чувашии в рамках полномочий, установленных законодательством Российской Федерации и Чувашской Республики, направлены рекомендации в адрес администрации муниципального образования, а также подготовлен проект письма (ходатайство) в адрес Федерального агентства по управлению государственным имуществом от имени Главы Чувашской Республики.</w:t>
            </w:r>
          </w:p>
        </w:tc>
      </w:tr>
      <w:tr>
        <w:trPr>
          <w:trHeight w:val="864" w:hRule="atLeast"/>
        </w:trPr>
        <w:tc>
          <w:tcPr>
            <w:tcW w:w="7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numPr>
                <w:ilvl w:val="0"/>
                <w:numId w:val="1"/>
              </w:numPr>
              <w:tabs>
                <w:tab w:val="clear" w:pos="708"/>
                <w:tab w:val="left" w:pos="9253" w:leader="none"/>
              </w:tabs>
              <w:spacing w:lineRule="auto" w:line="240" w:before="0" w:after="0"/>
              <w:ind w:hanging="0" w:left="0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</w:r>
          </w:p>
        </w:tc>
        <w:tc>
          <w:tcPr>
            <w:tcW w:w="42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>
            <w:pPr>
              <w:pStyle w:val="Normal"/>
              <w:widowControl/>
              <w:tabs>
                <w:tab w:val="clear" w:pos="708"/>
                <w:tab w:val="left" w:pos="4400" w:leader="none"/>
              </w:tabs>
              <w:spacing w:lineRule="auto" w:line="240" w:before="0" w:after="0"/>
              <w:ind w:hanging="0" w:left="0" w:right="0"/>
              <w:contextualSpacing/>
              <w:jc w:val="both"/>
              <w:rPr>
                <w:rFonts w:ascii="Times New Roman" w:hAnsi="Times New Roman" w:eastAsia="Tahoma" w:cs="Noto Sans Devanagari"/>
                <w:color w:val="auto"/>
                <w:kern w:val="0"/>
                <w:sz w:val="24"/>
                <w:szCs w:val="24"/>
                <w:lang w:val="ru-RU" w:eastAsia="en-US" w:bidi="ar-SA"/>
              </w:rPr>
            </w:pPr>
            <w:r>
              <w:rPr>
                <w:rFonts w:eastAsia="Tahoma" w:cs="Noto Sans Devanagari" w:ascii="Times New Roman" w:hAnsi="Times New Roman"/>
                <w:color w:val="auto"/>
                <w:kern w:val="0"/>
                <w:sz w:val="24"/>
                <w:szCs w:val="24"/>
                <w:lang w:val="ru-RU" w:eastAsia="en-US" w:bidi="ar-SA"/>
              </w:rPr>
              <w:t>Просим сократить интервалы движения общественного автобуса № 41. В часы пик транспорт переполнен, что доставляет большой дискомфорт пассажирам, иногда невозможно сесть в автобус.</w:t>
            </w:r>
          </w:p>
        </w:tc>
        <w:tc>
          <w:tcPr>
            <w:tcW w:w="24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>
            <w:pPr>
              <w:pStyle w:val="NoSpacing"/>
              <w:widowControl/>
              <w:tabs>
                <w:tab w:val="clear" w:pos="708"/>
                <w:tab w:val="left" w:pos="4400" w:leader="none"/>
              </w:tabs>
              <w:spacing w:lineRule="auto" w:line="240" w:before="0" w:after="0"/>
              <w:ind w:hanging="0" w:left="0" w:right="0"/>
              <w:contextualSpacing/>
              <w:jc w:val="left"/>
              <w:rPr>
                <w:rFonts w:ascii="Times New Roman" w:hAnsi="Times New Roman" w:eastAsia="Tahoma" w:cs="Noto Sans Devanagari"/>
                <w:color w:val="auto"/>
                <w:kern w:val="0"/>
                <w:sz w:val="24"/>
                <w:szCs w:val="24"/>
                <w:lang w:val="ru-RU" w:eastAsia="en-US" w:bidi="ar-SA"/>
              </w:rPr>
            </w:pPr>
            <w:r>
              <w:rPr>
                <w:rFonts w:eastAsia="Tahoma" w:cs="Noto Sans Devanagari" w:ascii="Times New Roman" w:hAnsi="Times New Roman"/>
                <w:color w:val="auto"/>
                <w:kern w:val="0"/>
                <w:sz w:val="24"/>
                <w:szCs w:val="24"/>
                <w:lang w:val="ru-RU" w:eastAsia="en-US" w:bidi="ar-SA"/>
              </w:rPr>
              <w:t>Сотрудник АО «Чувашхлебопродукт», пр. Соляное, д. 1а</w:t>
            </w:r>
          </w:p>
        </w:tc>
        <w:tc>
          <w:tcPr>
            <w:tcW w:w="73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/>
              <w:tabs>
                <w:tab w:val="clear" w:pos="708"/>
                <w:tab w:val="left" w:pos="4400" w:leader="none"/>
              </w:tabs>
              <w:suppressAutoHyphens w:val="true"/>
              <w:bidi w:val="0"/>
              <w:spacing w:lineRule="auto" w:line="240" w:before="0" w:after="0"/>
              <w:ind w:firstLine="283" w:left="0" w:right="0"/>
              <w:contextualSpacing/>
              <w:jc w:val="both"/>
              <w:rPr/>
            </w:pPr>
            <w:r>
              <w:rPr>
                <w:rFonts w:eastAsia="Tahoma" w:cs="Noto Sans Devanagari" w:ascii="Times New Roman" w:hAnsi="Times New Roman"/>
                <w:b/>
                <w:bCs/>
                <w:color w:val="auto"/>
                <w:kern w:val="0"/>
                <w:sz w:val="24"/>
                <w:szCs w:val="24"/>
                <w:lang w:val="ru-RU" w:eastAsia="en-US" w:bidi="ar-SA"/>
              </w:rPr>
              <w:t>Администрация города Чебоксары</w:t>
            </w:r>
            <w:r>
              <w:rPr>
                <w:rFonts w:eastAsia="Tahoma" w:cs="Noto Sans Devanagari" w:ascii="Times New Roman" w:hAnsi="Times New Roman"/>
                <w:color w:val="auto"/>
                <w:kern w:val="0"/>
                <w:sz w:val="24"/>
                <w:szCs w:val="24"/>
                <w:lang w:val="ru-RU" w:eastAsia="en-US" w:bidi="ar-SA"/>
              </w:rPr>
              <w:t xml:space="preserve"> сообщает следующее.</w:t>
            </w:r>
          </w:p>
          <w:p>
            <w:pPr>
              <w:pStyle w:val="Normal"/>
              <w:widowControl/>
              <w:tabs>
                <w:tab w:val="clear" w:pos="708"/>
                <w:tab w:val="left" w:pos="4400" w:leader="none"/>
              </w:tabs>
              <w:suppressAutoHyphens w:val="true"/>
              <w:bidi w:val="0"/>
              <w:spacing w:lineRule="auto" w:line="240" w:before="0" w:after="0"/>
              <w:ind w:firstLine="283" w:left="0" w:right="0"/>
              <w:contextualSpacing/>
              <w:jc w:val="both"/>
              <w:rPr/>
            </w:pPr>
            <w:r>
              <w:rPr>
                <w:rFonts w:eastAsia="Tahoma" w:cs="Noto Sans Devanagari" w:ascii="Times New Roman" w:hAnsi="Times New Roman"/>
                <w:color w:val="auto"/>
                <w:kern w:val="0"/>
                <w:sz w:val="24"/>
                <w:szCs w:val="24"/>
                <w:lang w:val="ru-RU" w:eastAsia="en-US" w:bidi="ar-SA"/>
              </w:rPr>
              <w:t>Создание условий для предоставления транспортных услуг населению и организация транспортного обслуживания населения в границах муниципального округа осуществляется согласно Федеральному закону от 13 июля 2015 года № 220-ФЗ «Об организации регулярных перевозок пассажиров и багажа автомобильным транспортом и городским наземным электрическим транспортом в Российской Федерации и о внесении изменений в отдельные законодательные акты Российской Федерации» (далее – Федеральный закон от 13 июля 2015 года № 220-ФЗ).</w:t>
            </w:r>
          </w:p>
          <w:p>
            <w:pPr>
              <w:pStyle w:val="Normal"/>
              <w:widowControl/>
              <w:tabs>
                <w:tab w:val="clear" w:pos="708"/>
                <w:tab w:val="left" w:pos="4400" w:leader="none"/>
              </w:tabs>
              <w:suppressAutoHyphens w:val="true"/>
              <w:bidi w:val="0"/>
              <w:spacing w:lineRule="auto" w:line="240" w:before="0" w:after="0"/>
              <w:ind w:firstLine="283" w:left="0" w:right="0"/>
              <w:contextualSpacing/>
              <w:jc w:val="both"/>
              <w:rPr/>
            </w:pPr>
            <w:r>
              <w:rPr>
                <w:rFonts w:eastAsia="Tahoma" w:cs="Noto Sans Devanagari" w:ascii="Times New Roman" w:hAnsi="Times New Roman"/>
                <w:color w:val="auto"/>
                <w:kern w:val="0"/>
                <w:sz w:val="24"/>
                <w:szCs w:val="24"/>
                <w:lang w:val="ru-RU" w:eastAsia="en-US" w:bidi="ar-SA"/>
              </w:rPr>
              <w:t>Согласно ч. 2 ст. 14 Федерального закона от 13 июля 2015 года № 220-ФЗ осуществление регулярных перевозок пассажиров по регулируемым тарифам обеспечивается посредством заключения уполномоченным органом местного самоуправления муниципального контракта в порядке, установленном законодательством Российской Федерации о контрактной системе в сфере закупок работ для обеспечения муниципальных нужд.</w:t>
            </w:r>
          </w:p>
          <w:p>
            <w:pPr>
              <w:pStyle w:val="Normal"/>
              <w:widowControl/>
              <w:tabs>
                <w:tab w:val="clear" w:pos="708"/>
                <w:tab w:val="left" w:pos="4400" w:leader="none"/>
              </w:tabs>
              <w:suppressAutoHyphens w:val="true"/>
              <w:bidi w:val="0"/>
              <w:spacing w:lineRule="auto" w:line="240" w:before="0" w:after="0"/>
              <w:ind w:firstLine="283" w:left="0" w:right="0"/>
              <w:contextualSpacing/>
              <w:jc w:val="both"/>
              <w:rPr/>
            </w:pPr>
            <w:r>
              <w:rPr>
                <w:rFonts w:eastAsia="Tahoma" w:cs="Noto Sans Devanagari" w:ascii="Times New Roman" w:hAnsi="Times New Roman"/>
                <w:color w:val="auto"/>
                <w:kern w:val="0"/>
                <w:sz w:val="24"/>
                <w:szCs w:val="24"/>
                <w:lang w:val="ru-RU" w:eastAsia="en-US" w:bidi="ar-SA"/>
              </w:rPr>
              <w:t>Муниципальными контрактами на выполнение работ, связанных с осуществлением регулярных перевозок пассажиров и багажа автомобильным транспортом по муниципальным маршрутам города Чебоксары по регулируемым тарифам, установлены интервалы и расписания движения маршрутных транспортных средств, предусматривающие удовлетворение потребностей населения при рациональном использовании подвижного состава на маршрутах, в том числе с учетом интенсивности пассажиропотока в зависимости от времени суток.</w:t>
            </w:r>
          </w:p>
          <w:p>
            <w:pPr>
              <w:pStyle w:val="Normal"/>
              <w:widowControl/>
              <w:tabs>
                <w:tab w:val="clear" w:pos="708"/>
                <w:tab w:val="left" w:pos="4400" w:leader="none"/>
              </w:tabs>
              <w:suppressAutoHyphens w:val="true"/>
              <w:bidi w:val="0"/>
              <w:spacing w:lineRule="auto" w:line="240" w:before="0" w:after="0"/>
              <w:ind w:firstLine="283" w:left="0" w:right="0"/>
              <w:contextualSpacing/>
              <w:jc w:val="both"/>
              <w:rPr/>
            </w:pPr>
            <w:r>
              <w:rPr>
                <w:rFonts w:eastAsia="Tahoma" w:cs="Noto Sans Devanagari" w:ascii="Times New Roman" w:hAnsi="Times New Roman"/>
                <w:color w:val="auto"/>
                <w:kern w:val="0"/>
                <w:sz w:val="24"/>
                <w:szCs w:val="24"/>
                <w:lang w:val="ru-RU" w:eastAsia="en-US" w:bidi="ar-SA"/>
              </w:rPr>
              <w:t>Между управлением ЖКХ, энергетики, транспорта и связи администрации города Чебоксары и ООО «ПКЦ «Одежда» заключен муниципальный контракт от 25 декабря 2023 года № 1489 на выполнение работ, связанных с осуществлением регулярных перевозок пассажиров и багажа автомобильным транспортом по муниципальному маршруту города Чебоксары № 41 по регулируемым тарифам (далее – Муниципальный контракт).</w:t>
            </w:r>
          </w:p>
          <w:p>
            <w:pPr>
              <w:pStyle w:val="Normal"/>
              <w:widowControl/>
              <w:tabs>
                <w:tab w:val="clear" w:pos="708"/>
                <w:tab w:val="left" w:pos="4400" w:leader="none"/>
              </w:tabs>
              <w:suppressAutoHyphens w:val="true"/>
              <w:bidi w:val="0"/>
              <w:spacing w:lineRule="auto" w:line="240" w:before="0" w:after="0"/>
              <w:ind w:firstLine="283" w:left="0" w:right="0"/>
              <w:contextualSpacing/>
              <w:jc w:val="both"/>
              <w:rPr/>
            </w:pPr>
            <w:r>
              <w:rPr>
                <w:rFonts w:eastAsia="Tahoma" w:cs="Noto Sans Devanagari" w:ascii="Times New Roman" w:hAnsi="Times New Roman"/>
                <w:color w:val="auto"/>
                <w:kern w:val="0"/>
                <w:sz w:val="24"/>
                <w:szCs w:val="24"/>
                <w:lang w:val="ru-RU" w:eastAsia="en-US" w:bidi="ar-SA"/>
              </w:rPr>
              <w:t>Согласно Муниципальному контракту муниципальный маршрут регулярных перевозок пассажиров и багажа № 41 в рабочие дни обслуживают не менее 16 и не более 17 маршрутных транспортных средств. Установленное Муниципальным контрактом расписание отправления маршрутных транспортных средств с остановок общественного транспорта «Магазин Акатуй» и «Элеватор» представлено в таблице 1.</w:t>
            </w:r>
          </w:p>
          <w:p>
            <w:pPr>
              <w:pStyle w:val="Normal"/>
              <w:widowControl/>
              <w:tabs>
                <w:tab w:val="clear" w:pos="708"/>
                <w:tab w:val="left" w:pos="4400" w:leader="none"/>
              </w:tabs>
              <w:suppressAutoHyphens w:val="true"/>
              <w:bidi w:val="0"/>
              <w:spacing w:lineRule="auto" w:line="240" w:before="0" w:after="0"/>
              <w:ind w:firstLine="283" w:left="0" w:right="0"/>
              <w:contextualSpacing/>
              <w:jc w:val="both"/>
              <w:rPr>
                <w:b/>
                <w:bCs/>
              </w:rPr>
            </w:pPr>
            <w:r>
              <w:rPr>
                <w:rFonts w:eastAsia="Tahoma" w:cs="Noto Sans Devanagari" w:ascii="Times New Roman" w:hAnsi="Times New Roman"/>
                <w:b/>
                <w:bCs/>
                <w:color w:val="auto"/>
                <w:kern w:val="0"/>
                <w:sz w:val="24"/>
                <w:szCs w:val="24"/>
                <w:lang w:val="ru-RU" w:eastAsia="en-US" w:bidi="ar-SA"/>
              </w:rPr>
              <w:t>Таблица 1. Расписание отправления</w:t>
            </w:r>
          </w:p>
          <w:p>
            <w:pPr>
              <w:pStyle w:val="Normal"/>
              <w:widowControl/>
              <w:tabs>
                <w:tab w:val="clear" w:pos="708"/>
                <w:tab w:val="left" w:pos="4400" w:leader="none"/>
              </w:tabs>
              <w:suppressAutoHyphens w:val="true"/>
              <w:bidi w:val="0"/>
              <w:spacing w:lineRule="auto" w:line="240" w:before="0" w:after="0"/>
              <w:ind w:firstLine="283" w:left="0" w:right="0"/>
              <w:contextualSpacing/>
              <w:jc w:val="both"/>
              <w:rPr/>
            </w:pPr>
            <w:r>
              <w:rPr>
                <w:rFonts w:eastAsia="Tahoma" w:cs="Noto Sans Devanagari" w:ascii="Times New Roman" w:hAnsi="Times New Roman"/>
                <w:color w:val="auto"/>
                <w:kern w:val="0"/>
                <w:sz w:val="24"/>
                <w:szCs w:val="24"/>
                <w:lang w:val="ru-RU" w:eastAsia="en-US" w:bidi="ar-SA"/>
              </w:rPr>
              <w:t>Место отправления Время отправления</w:t>
            </w:r>
          </w:p>
          <w:p>
            <w:pPr>
              <w:pStyle w:val="Normal"/>
              <w:widowControl/>
              <w:tabs>
                <w:tab w:val="clear" w:pos="708"/>
                <w:tab w:val="left" w:pos="4400" w:leader="none"/>
              </w:tabs>
              <w:suppressAutoHyphens w:val="true"/>
              <w:bidi w:val="0"/>
              <w:spacing w:lineRule="auto" w:line="240" w:before="0" w:after="0"/>
              <w:ind w:firstLine="283" w:left="0" w:right="0"/>
              <w:contextualSpacing/>
              <w:jc w:val="both"/>
              <w:rPr>
                <w:b/>
                <w:bCs/>
              </w:rPr>
            </w:pPr>
            <w:r>
              <w:rPr>
                <w:rFonts w:eastAsia="Tahoma" w:cs="Noto Sans Devanagari" w:ascii="Times New Roman" w:hAnsi="Times New Roman"/>
                <w:b/>
                <w:bCs/>
                <w:color w:val="auto"/>
                <w:kern w:val="0"/>
                <w:sz w:val="24"/>
                <w:szCs w:val="24"/>
                <w:lang w:val="ru-RU" w:eastAsia="en-US" w:bidi="ar-SA"/>
              </w:rPr>
              <w:t>ООТ «Магазин Акатуй»</w:t>
            </w:r>
          </w:p>
          <w:p>
            <w:pPr>
              <w:pStyle w:val="Normal"/>
              <w:widowControl/>
              <w:tabs>
                <w:tab w:val="clear" w:pos="708"/>
                <w:tab w:val="left" w:pos="4400" w:leader="none"/>
              </w:tabs>
              <w:suppressAutoHyphens w:val="true"/>
              <w:bidi w:val="0"/>
              <w:spacing w:lineRule="auto" w:line="240" w:before="0" w:after="0"/>
              <w:ind w:firstLine="283" w:left="0" w:right="0"/>
              <w:contextualSpacing/>
              <w:jc w:val="both"/>
              <w:rPr/>
            </w:pPr>
            <w:r>
              <w:rPr>
                <w:rFonts w:eastAsia="Tahoma" w:cs="Noto Sans Devanagari" w:ascii="Times New Roman" w:hAnsi="Times New Roman"/>
                <w:color w:val="auto"/>
                <w:kern w:val="0"/>
                <w:sz w:val="24"/>
                <w:szCs w:val="24"/>
                <w:lang w:val="ru-RU" w:eastAsia="en-US" w:bidi="ar-SA"/>
              </w:rPr>
              <w:t>4:40 7:05 9:25 11:45 14:05 16:25 18:48 21:18</w:t>
            </w:r>
          </w:p>
          <w:p>
            <w:pPr>
              <w:pStyle w:val="Normal"/>
              <w:widowControl/>
              <w:tabs>
                <w:tab w:val="clear" w:pos="708"/>
                <w:tab w:val="left" w:pos="4400" w:leader="none"/>
              </w:tabs>
              <w:suppressAutoHyphens w:val="true"/>
              <w:bidi w:val="0"/>
              <w:spacing w:lineRule="auto" w:line="240" w:before="0" w:after="0"/>
              <w:ind w:firstLine="283" w:left="0" w:right="0"/>
              <w:contextualSpacing/>
              <w:jc w:val="both"/>
              <w:rPr/>
            </w:pPr>
            <w:r>
              <w:rPr>
                <w:rFonts w:eastAsia="Tahoma" w:cs="Noto Sans Devanagari" w:ascii="Times New Roman" w:hAnsi="Times New Roman"/>
                <w:color w:val="auto"/>
                <w:kern w:val="0"/>
                <w:sz w:val="24"/>
                <w:szCs w:val="24"/>
                <w:lang w:val="ru-RU" w:eastAsia="en-US" w:bidi="ar-SA"/>
              </w:rPr>
              <w:t>4:55 7:19 9:39 11:59 14:19 16:39 19:03 21:33</w:t>
            </w:r>
          </w:p>
          <w:p>
            <w:pPr>
              <w:pStyle w:val="Normal"/>
              <w:widowControl/>
              <w:tabs>
                <w:tab w:val="clear" w:pos="708"/>
                <w:tab w:val="left" w:pos="4400" w:leader="none"/>
              </w:tabs>
              <w:suppressAutoHyphens w:val="true"/>
              <w:bidi w:val="0"/>
              <w:spacing w:lineRule="auto" w:line="240" w:before="0" w:after="0"/>
              <w:ind w:firstLine="283" w:left="0" w:right="0"/>
              <w:contextualSpacing/>
              <w:jc w:val="both"/>
              <w:rPr/>
            </w:pPr>
            <w:r>
              <w:rPr>
                <w:rFonts w:eastAsia="Tahoma" w:cs="Noto Sans Devanagari" w:ascii="Times New Roman" w:hAnsi="Times New Roman"/>
                <w:color w:val="auto"/>
                <w:kern w:val="0"/>
                <w:sz w:val="24"/>
                <w:szCs w:val="24"/>
                <w:lang w:val="ru-RU" w:eastAsia="en-US" w:bidi="ar-SA"/>
              </w:rPr>
              <w:t>5:10 7:33 9:53 12:13 14:33 16:53 19:18 21:48</w:t>
            </w:r>
          </w:p>
          <w:p>
            <w:pPr>
              <w:pStyle w:val="Normal"/>
              <w:widowControl/>
              <w:tabs>
                <w:tab w:val="clear" w:pos="708"/>
                <w:tab w:val="left" w:pos="4400" w:leader="none"/>
              </w:tabs>
              <w:suppressAutoHyphens w:val="true"/>
              <w:bidi w:val="0"/>
              <w:spacing w:lineRule="auto" w:line="240" w:before="0" w:after="0"/>
              <w:ind w:firstLine="283" w:left="0" w:right="0"/>
              <w:contextualSpacing/>
              <w:jc w:val="both"/>
              <w:rPr/>
            </w:pPr>
            <w:r>
              <w:rPr>
                <w:rFonts w:eastAsia="Tahoma" w:cs="Noto Sans Devanagari" w:ascii="Times New Roman" w:hAnsi="Times New Roman"/>
                <w:color w:val="auto"/>
                <w:kern w:val="0"/>
                <w:sz w:val="24"/>
                <w:szCs w:val="24"/>
                <w:lang w:val="ru-RU" w:eastAsia="en-US" w:bidi="ar-SA"/>
              </w:rPr>
              <w:t>5:25 7:47 10:07 12:27 14:47 17:07 19:33 22:00</w:t>
            </w:r>
          </w:p>
          <w:p>
            <w:pPr>
              <w:pStyle w:val="Normal"/>
              <w:widowControl/>
              <w:tabs>
                <w:tab w:val="clear" w:pos="708"/>
                <w:tab w:val="left" w:pos="4400" w:leader="none"/>
              </w:tabs>
              <w:suppressAutoHyphens w:val="true"/>
              <w:bidi w:val="0"/>
              <w:spacing w:lineRule="auto" w:line="240" w:before="0" w:after="0"/>
              <w:ind w:firstLine="283" w:left="0" w:right="0"/>
              <w:contextualSpacing/>
              <w:jc w:val="both"/>
              <w:rPr/>
            </w:pPr>
            <w:r>
              <w:rPr>
                <w:rFonts w:eastAsia="Tahoma" w:cs="Noto Sans Devanagari" w:ascii="Times New Roman" w:hAnsi="Times New Roman"/>
                <w:color w:val="auto"/>
                <w:kern w:val="0"/>
                <w:sz w:val="24"/>
                <w:szCs w:val="24"/>
                <w:lang w:val="ru-RU" w:eastAsia="en-US" w:bidi="ar-SA"/>
              </w:rPr>
              <w:t>5:40 8:01 10:21 12:41 15:01 17:21 19:48</w:t>
            </w:r>
          </w:p>
          <w:p>
            <w:pPr>
              <w:pStyle w:val="Normal"/>
              <w:widowControl/>
              <w:tabs>
                <w:tab w:val="clear" w:pos="708"/>
                <w:tab w:val="left" w:pos="4400" w:leader="none"/>
              </w:tabs>
              <w:suppressAutoHyphens w:val="true"/>
              <w:bidi w:val="0"/>
              <w:spacing w:lineRule="auto" w:line="240" w:before="0" w:after="0"/>
              <w:ind w:firstLine="283" w:left="0" w:right="0"/>
              <w:contextualSpacing/>
              <w:jc w:val="both"/>
              <w:rPr/>
            </w:pPr>
            <w:r>
              <w:rPr>
                <w:rFonts w:eastAsia="Tahoma" w:cs="Noto Sans Devanagari" w:ascii="Times New Roman" w:hAnsi="Times New Roman"/>
                <w:color w:val="auto"/>
                <w:kern w:val="0"/>
                <w:sz w:val="24"/>
                <w:szCs w:val="24"/>
                <w:lang w:val="ru-RU" w:eastAsia="en-US" w:bidi="ar-SA"/>
              </w:rPr>
              <w:t>5:55 8:15 10:35 12:55 15:15 17:35 20:03</w:t>
            </w:r>
          </w:p>
          <w:p>
            <w:pPr>
              <w:pStyle w:val="Normal"/>
              <w:widowControl/>
              <w:tabs>
                <w:tab w:val="clear" w:pos="708"/>
                <w:tab w:val="left" w:pos="4400" w:leader="none"/>
              </w:tabs>
              <w:suppressAutoHyphens w:val="true"/>
              <w:bidi w:val="0"/>
              <w:spacing w:lineRule="auto" w:line="240" w:before="0" w:after="0"/>
              <w:ind w:firstLine="283" w:left="0" w:right="0"/>
              <w:contextualSpacing/>
              <w:jc w:val="both"/>
              <w:rPr/>
            </w:pPr>
            <w:r>
              <w:rPr>
                <w:rFonts w:eastAsia="Tahoma" w:cs="Noto Sans Devanagari" w:ascii="Times New Roman" w:hAnsi="Times New Roman"/>
                <w:color w:val="auto"/>
                <w:kern w:val="0"/>
                <w:sz w:val="24"/>
                <w:szCs w:val="24"/>
                <w:lang w:val="ru-RU" w:eastAsia="en-US" w:bidi="ar-SA"/>
              </w:rPr>
              <w:t>6:09 8:29 10:49 13:09 15:29 17:49 20:18</w:t>
            </w:r>
          </w:p>
          <w:p>
            <w:pPr>
              <w:pStyle w:val="Normal"/>
              <w:widowControl/>
              <w:tabs>
                <w:tab w:val="clear" w:pos="708"/>
                <w:tab w:val="left" w:pos="4400" w:leader="none"/>
              </w:tabs>
              <w:suppressAutoHyphens w:val="true"/>
              <w:bidi w:val="0"/>
              <w:spacing w:lineRule="auto" w:line="240" w:before="0" w:after="0"/>
              <w:ind w:firstLine="283" w:left="0" w:right="0"/>
              <w:contextualSpacing/>
              <w:jc w:val="both"/>
              <w:rPr/>
            </w:pPr>
            <w:r>
              <w:rPr>
                <w:rFonts w:eastAsia="Tahoma" w:cs="Noto Sans Devanagari" w:ascii="Times New Roman" w:hAnsi="Times New Roman"/>
                <w:color w:val="auto"/>
                <w:kern w:val="0"/>
                <w:sz w:val="24"/>
                <w:szCs w:val="24"/>
                <w:lang w:val="ru-RU" w:eastAsia="en-US" w:bidi="ar-SA"/>
              </w:rPr>
              <w:t>6:23 8:43 11:03 13:23 15:43 18:03 20:33</w:t>
            </w:r>
          </w:p>
          <w:p>
            <w:pPr>
              <w:pStyle w:val="Normal"/>
              <w:widowControl/>
              <w:tabs>
                <w:tab w:val="clear" w:pos="708"/>
                <w:tab w:val="left" w:pos="4400" w:leader="none"/>
              </w:tabs>
              <w:suppressAutoHyphens w:val="true"/>
              <w:bidi w:val="0"/>
              <w:spacing w:lineRule="auto" w:line="240" w:before="0" w:after="0"/>
              <w:ind w:firstLine="283" w:left="0" w:right="0"/>
              <w:contextualSpacing/>
              <w:jc w:val="both"/>
              <w:rPr/>
            </w:pPr>
            <w:r>
              <w:rPr>
                <w:rFonts w:eastAsia="Tahoma" w:cs="Noto Sans Devanagari" w:ascii="Times New Roman" w:hAnsi="Times New Roman"/>
                <w:color w:val="auto"/>
                <w:kern w:val="0"/>
                <w:sz w:val="24"/>
                <w:szCs w:val="24"/>
                <w:lang w:val="ru-RU" w:eastAsia="en-US" w:bidi="ar-SA"/>
              </w:rPr>
              <w:t>6:37 8:57 11:17 13:37 15:57 18:18 20:48</w:t>
            </w:r>
          </w:p>
          <w:p>
            <w:pPr>
              <w:pStyle w:val="Normal"/>
              <w:widowControl/>
              <w:tabs>
                <w:tab w:val="clear" w:pos="708"/>
                <w:tab w:val="left" w:pos="4400" w:leader="none"/>
              </w:tabs>
              <w:suppressAutoHyphens w:val="true"/>
              <w:bidi w:val="0"/>
              <w:spacing w:lineRule="auto" w:line="240" w:before="0" w:after="0"/>
              <w:ind w:firstLine="283" w:left="0" w:right="0"/>
              <w:contextualSpacing/>
              <w:jc w:val="both"/>
              <w:rPr/>
            </w:pPr>
            <w:r>
              <w:rPr>
                <w:rFonts w:eastAsia="Tahoma" w:cs="Noto Sans Devanagari" w:ascii="Times New Roman" w:hAnsi="Times New Roman"/>
                <w:color w:val="auto"/>
                <w:kern w:val="0"/>
                <w:sz w:val="24"/>
                <w:szCs w:val="24"/>
                <w:lang w:val="ru-RU" w:eastAsia="en-US" w:bidi="ar-SA"/>
              </w:rPr>
              <w:t>6:51 9:11 11:31 13:51 16:11 18:33 21:03</w:t>
            </w:r>
          </w:p>
          <w:p>
            <w:pPr>
              <w:pStyle w:val="Normal"/>
              <w:widowControl/>
              <w:tabs>
                <w:tab w:val="clear" w:pos="708"/>
                <w:tab w:val="left" w:pos="4400" w:leader="none"/>
              </w:tabs>
              <w:suppressAutoHyphens w:val="true"/>
              <w:bidi w:val="0"/>
              <w:spacing w:lineRule="auto" w:line="240" w:before="0" w:after="0"/>
              <w:ind w:firstLine="283" w:left="0" w:right="0"/>
              <w:contextualSpacing/>
              <w:jc w:val="both"/>
              <w:rPr>
                <w:b/>
                <w:bCs/>
              </w:rPr>
            </w:pPr>
            <w:r>
              <w:rPr>
                <w:rFonts w:eastAsia="Tahoma" w:cs="Noto Sans Devanagari" w:ascii="Times New Roman" w:hAnsi="Times New Roman"/>
                <w:b/>
                <w:bCs/>
                <w:color w:val="auto"/>
                <w:kern w:val="0"/>
                <w:sz w:val="24"/>
                <w:szCs w:val="24"/>
                <w:lang w:val="ru-RU" w:eastAsia="en-US" w:bidi="ar-SA"/>
              </w:rPr>
              <w:t>ООТ «Элеватор»</w:t>
            </w:r>
          </w:p>
          <w:p>
            <w:pPr>
              <w:pStyle w:val="Normal"/>
              <w:widowControl/>
              <w:tabs>
                <w:tab w:val="clear" w:pos="708"/>
                <w:tab w:val="left" w:pos="4400" w:leader="none"/>
              </w:tabs>
              <w:suppressAutoHyphens w:val="true"/>
              <w:bidi w:val="0"/>
              <w:spacing w:lineRule="auto" w:line="240" w:before="0" w:after="0"/>
              <w:ind w:firstLine="283" w:left="0" w:right="0"/>
              <w:contextualSpacing/>
              <w:jc w:val="both"/>
              <w:rPr/>
            </w:pPr>
            <w:r>
              <w:rPr>
                <w:rFonts w:eastAsia="Tahoma" w:cs="Noto Sans Devanagari" w:ascii="Times New Roman" w:hAnsi="Times New Roman"/>
                <w:color w:val="auto"/>
                <w:kern w:val="0"/>
                <w:sz w:val="24"/>
                <w:szCs w:val="24"/>
                <w:lang w:val="ru-RU" w:eastAsia="en-US" w:bidi="ar-SA"/>
              </w:rPr>
              <w:t>4:40 7:05 9:25 11:45 14:05 16:25 18:48 21:18</w:t>
            </w:r>
          </w:p>
          <w:p>
            <w:pPr>
              <w:pStyle w:val="Normal"/>
              <w:widowControl/>
              <w:tabs>
                <w:tab w:val="clear" w:pos="708"/>
                <w:tab w:val="left" w:pos="4400" w:leader="none"/>
              </w:tabs>
              <w:suppressAutoHyphens w:val="true"/>
              <w:bidi w:val="0"/>
              <w:spacing w:lineRule="auto" w:line="240" w:before="0" w:after="0"/>
              <w:ind w:firstLine="283" w:left="0" w:right="0"/>
              <w:contextualSpacing/>
              <w:jc w:val="both"/>
              <w:rPr/>
            </w:pPr>
            <w:r>
              <w:rPr>
                <w:rFonts w:eastAsia="Tahoma" w:cs="Noto Sans Devanagari" w:ascii="Times New Roman" w:hAnsi="Times New Roman"/>
                <w:color w:val="auto"/>
                <w:kern w:val="0"/>
                <w:sz w:val="24"/>
                <w:szCs w:val="24"/>
                <w:lang w:val="ru-RU" w:eastAsia="en-US" w:bidi="ar-SA"/>
              </w:rPr>
              <w:t>4:55 7:19 9:39 11:59 14:19 16:39 19:03 21:33</w:t>
            </w:r>
          </w:p>
          <w:p>
            <w:pPr>
              <w:pStyle w:val="Normal"/>
              <w:widowControl/>
              <w:tabs>
                <w:tab w:val="clear" w:pos="708"/>
                <w:tab w:val="left" w:pos="4400" w:leader="none"/>
              </w:tabs>
              <w:suppressAutoHyphens w:val="true"/>
              <w:bidi w:val="0"/>
              <w:spacing w:lineRule="auto" w:line="240" w:before="0" w:after="0"/>
              <w:ind w:firstLine="283" w:left="0" w:right="0"/>
              <w:contextualSpacing/>
              <w:jc w:val="both"/>
              <w:rPr/>
            </w:pPr>
            <w:r>
              <w:rPr>
                <w:rFonts w:eastAsia="Tahoma" w:cs="Noto Sans Devanagari" w:ascii="Times New Roman" w:hAnsi="Times New Roman"/>
                <w:color w:val="auto"/>
                <w:kern w:val="0"/>
                <w:sz w:val="24"/>
                <w:szCs w:val="24"/>
                <w:lang w:val="ru-RU" w:eastAsia="en-US" w:bidi="ar-SA"/>
              </w:rPr>
              <w:t>5:10 7:33 9:53 12:13 14:33 16:53 19:18 21:48</w:t>
            </w:r>
          </w:p>
          <w:p>
            <w:pPr>
              <w:pStyle w:val="Normal"/>
              <w:widowControl/>
              <w:tabs>
                <w:tab w:val="clear" w:pos="708"/>
                <w:tab w:val="left" w:pos="4400" w:leader="none"/>
              </w:tabs>
              <w:suppressAutoHyphens w:val="true"/>
              <w:bidi w:val="0"/>
              <w:spacing w:lineRule="auto" w:line="240" w:before="0" w:after="0"/>
              <w:ind w:firstLine="283" w:left="0" w:right="0"/>
              <w:contextualSpacing/>
              <w:jc w:val="both"/>
              <w:rPr/>
            </w:pPr>
            <w:r>
              <w:rPr>
                <w:rFonts w:eastAsia="Tahoma" w:cs="Noto Sans Devanagari" w:ascii="Times New Roman" w:hAnsi="Times New Roman"/>
                <w:color w:val="auto"/>
                <w:kern w:val="0"/>
                <w:sz w:val="24"/>
                <w:szCs w:val="24"/>
                <w:lang w:val="ru-RU" w:eastAsia="en-US" w:bidi="ar-SA"/>
              </w:rPr>
              <w:t>5:25 7:47 10:07 12:27 14:47 17:07 19:33 22:00</w:t>
            </w:r>
          </w:p>
          <w:p>
            <w:pPr>
              <w:pStyle w:val="Normal"/>
              <w:widowControl/>
              <w:tabs>
                <w:tab w:val="clear" w:pos="708"/>
                <w:tab w:val="left" w:pos="4400" w:leader="none"/>
              </w:tabs>
              <w:suppressAutoHyphens w:val="true"/>
              <w:bidi w:val="0"/>
              <w:spacing w:lineRule="auto" w:line="240" w:before="0" w:after="0"/>
              <w:ind w:firstLine="283" w:left="0" w:right="0"/>
              <w:contextualSpacing/>
              <w:jc w:val="both"/>
              <w:rPr/>
            </w:pPr>
            <w:r>
              <w:rPr>
                <w:rFonts w:eastAsia="Tahoma" w:cs="Noto Sans Devanagari" w:ascii="Times New Roman" w:hAnsi="Times New Roman"/>
                <w:color w:val="auto"/>
                <w:kern w:val="0"/>
                <w:sz w:val="24"/>
                <w:szCs w:val="24"/>
                <w:lang w:val="ru-RU" w:eastAsia="en-US" w:bidi="ar-SA"/>
              </w:rPr>
              <w:t>5:40 8:01 10:21 12:41 15:01 17:21 19:48</w:t>
            </w:r>
          </w:p>
          <w:p>
            <w:pPr>
              <w:pStyle w:val="Normal"/>
              <w:widowControl/>
              <w:tabs>
                <w:tab w:val="clear" w:pos="708"/>
                <w:tab w:val="left" w:pos="4400" w:leader="none"/>
              </w:tabs>
              <w:suppressAutoHyphens w:val="true"/>
              <w:bidi w:val="0"/>
              <w:spacing w:lineRule="auto" w:line="240" w:before="0" w:after="0"/>
              <w:ind w:firstLine="283" w:left="0" w:right="0"/>
              <w:contextualSpacing/>
              <w:jc w:val="both"/>
              <w:rPr/>
            </w:pPr>
            <w:r>
              <w:rPr>
                <w:rFonts w:eastAsia="Tahoma" w:cs="Noto Sans Devanagari" w:ascii="Times New Roman" w:hAnsi="Times New Roman"/>
                <w:color w:val="auto"/>
                <w:kern w:val="0"/>
                <w:sz w:val="24"/>
                <w:szCs w:val="24"/>
                <w:lang w:val="ru-RU" w:eastAsia="en-US" w:bidi="ar-SA"/>
              </w:rPr>
              <w:t>5:55 8:15 10:35 12:55 15:15 17:35 20:03</w:t>
            </w:r>
          </w:p>
          <w:p>
            <w:pPr>
              <w:pStyle w:val="Normal"/>
              <w:widowControl/>
              <w:tabs>
                <w:tab w:val="clear" w:pos="708"/>
                <w:tab w:val="left" w:pos="4400" w:leader="none"/>
              </w:tabs>
              <w:suppressAutoHyphens w:val="true"/>
              <w:bidi w:val="0"/>
              <w:spacing w:lineRule="auto" w:line="240" w:before="0" w:after="0"/>
              <w:ind w:firstLine="283" w:left="0" w:right="0"/>
              <w:contextualSpacing/>
              <w:jc w:val="both"/>
              <w:rPr/>
            </w:pPr>
            <w:r>
              <w:rPr>
                <w:rFonts w:eastAsia="Tahoma" w:cs="Noto Sans Devanagari" w:ascii="Times New Roman" w:hAnsi="Times New Roman"/>
                <w:color w:val="auto"/>
                <w:kern w:val="0"/>
                <w:sz w:val="24"/>
                <w:szCs w:val="24"/>
                <w:lang w:val="ru-RU" w:eastAsia="en-US" w:bidi="ar-SA"/>
              </w:rPr>
              <w:t>6:09 8:29 10:49 13:09 15:29 17:49 20:18</w:t>
            </w:r>
          </w:p>
          <w:p>
            <w:pPr>
              <w:pStyle w:val="Normal"/>
              <w:widowControl/>
              <w:tabs>
                <w:tab w:val="clear" w:pos="708"/>
                <w:tab w:val="left" w:pos="4400" w:leader="none"/>
              </w:tabs>
              <w:suppressAutoHyphens w:val="true"/>
              <w:bidi w:val="0"/>
              <w:spacing w:lineRule="auto" w:line="240" w:before="0" w:after="0"/>
              <w:ind w:firstLine="283" w:left="0" w:right="0"/>
              <w:contextualSpacing/>
              <w:jc w:val="both"/>
              <w:rPr/>
            </w:pPr>
            <w:r>
              <w:rPr>
                <w:rFonts w:eastAsia="Tahoma" w:cs="Noto Sans Devanagari" w:ascii="Times New Roman" w:hAnsi="Times New Roman"/>
                <w:color w:val="auto"/>
                <w:kern w:val="0"/>
                <w:sz w:val="24"/>
                <w:szCs w:val="24"/>
                <w:lang w:val="ru-RU" w:eastAsia="en-US" w:bidi="ar-SA"/>
              </w:rPr>
              <w:t>6:23 8:43 11:03 13:23 15:43 18:03 20:33</w:t>
            </w:r>
          </w:p>
          <w:p>
            <w:pPr>
              <w:pStyle w:val="Normal"/>
              <w:widowControl/>
              <w:tabs>
                <w:tab w:val="clear" w:pos="708"/>
                <w:tab w:val="left" w:pos="4400" w:leader="none"/>
              </w:tabs>
              <w:suppressAutoHyphens w:val="true"/>
              <w:bidi w:val="0"/>
              <w:spacing w:lineRule="auto" w:line="240" w:before="0" w:after="0"/>
              <w:ind w:firstLine="283" w:left="0" w:right="0"/>
              <w:contextualSpacing/>
              <w:jc w:val="both"/>
              <w:rPr/>
            </w:pPr>
            <w:r>
              <w:rPr>
                <w:rFonts w:eastAsia="Tahoma" w:cs="Noto Sans Devanagari" w:ascii="Times New Roman" w:hAnsi="Times New Roman"/>
                <w:color w:val="auto"/>
                <w:kern w:val="0"/>
                <w:sz w:val="24"/>
                <w:szCs w:val="24"/>
                <w:lang w:val="ru-RU" w:eastAsia="en-US" w:bidi="ar-SA"/>
              </w:rPr>
              <w:t>6:37 8:57 11:17 13:37 15:57 18:18 20:48</w:t>
            </w:r>
          </w:p>
          <w:p>
            <w:pPr>
              <w:pStyle w:val="Normal"/>
              <w:widowControl/>
              <w:tabs>
                <w:tab w:val="clear" w:pos="708"/>
                <w:tab w:val="left" w:pos="4400" w:leader="none"/>
              </w:tabs>
              <w:suppressAutoHyphens w:val="true"/>
              <w:bidi w:val="0"/>
              <w:spacing w:lineRule="auto" w:line="240" w:before="0" w:after="0"/>
              <w:ind w:firstLine="283" w:left="0" w:right="0"/>
              <w:contextualSpacing/>
              <w:jc w:val="both"/>
              <w:rPr/>
            </w:pPr>
            <w:r>
              <w:rPr>
                <w:rFonts w:eastAsia="Tahoma" w:cs="Noto Sans Devanagari" w:ascii="Times New Roman" w:hAnsi="Times New Roman"/>
                <w:color w:val="auto"/>
                <w:kern w:val="0"/>
                <w:sz w:val="24"/>
                <w:szCs w:val="24"/>
                <w:lang w:val="ru-RU" w:eastAsia="en-US" w:bidi="ar-SA"/>
              </w:rPr>
              <w:t>6:51 9:11 11:31 13:51 16:11 18:33 21:03</w:t>
            </w:r>
          </w:p>
          <w:p>
            <w:pPr>
              <w:pStyle w:val="Normal"/>
              <w:widowControl/>
              <w:tabs>
                <w:tab w:val="clear" w:pos="708"/>
                <w:tab w:val="left" w:pos="4400" w:leader="none"/>
              </w:tabs>
              <w:suppressAutoHyphens w:val="true"/>
              <w:bidi w:val="0"/>
              <w:spacing w:lineRule="auto" w:line="240" w:before="0" w:after="0"/>
              <w:ind w:firstLine="283" w:left="0" w:right="0"/>
              <w:contextualSpacing/>
              <w:jc w:val="both"/>
              <w:rPr/>
            </w:pPr>
            <w:r>
              <w:rPr>
                <w:rFonts w:eastAsia="Tahoma" w:cs="Noto Sans Devanagari" w:ascii="Times New Roman" w:hAnsi="Times New Roman"/>
                <w:color w:val="auto"/>
                <w:kern w:val="0"/>
                <w:sz w:val="24"/>
                <w:szCs w:val="24"/>
                <w:lang w:val="ru-RU" w:eastAsia="en-US" w:bidi="ar-SA"/>
              </w:rPr>
              <w:t>Нарушение установленного расписания движения маршрутных транспортных средств происходит в основном вследствие возникновения технической неисправности маршрутного транспортного средства или транспортных заторов на улично-дорожной сети, сформировавшихся в результате ремонтно-восстановительных работ, неблагоприятных погодных условий и дорожнотранспортных происшествий.</w:t>
            </w:r>
          </w:p>
          <w:p>
            <w:pPr>
              <w:pStyle w:val="Normal"/>
              <w:widowControl/>
              <w:tabs>
                <w:tab w:val="clear" w:pos="708"/>
                <w:tab w:val="left" w:pos="4400" w:leader="none"/>
              </w:tabs>
              <w:suppressAutoHyphens w:val="true"/>
              <w:bidi w:val="0"/>
              <w:spacing w:lineRule="auto" w:line="240" w:before="0" w:after="0"/>
              <w:ind w:firstLine="283" w:left="0" w:right="0"/>
              <w:contextualSpacing/>
              <w:jc w:val="both"/>
              <w:rPr/>
            </w:pPr>
            <w:r>
              <w:rPr>
                <w:rFonts w:eastAsia="Tahoma" w:cs="Noto Sans Devanagari" w:ascii="Times New Roman" w:hAnsi="Times New Roman"/>
                <w:color w:val="auto"/>
                <w:kern w:val="0"/>
                <w:sz w:val="24"/>
                <w:szCs w:val="24"/>
                <w:lang w:val="ru-RU" w:eastAsia="en-US" w:bidi="ar-SA"/>
              </w:rPr>
              <w:t>За нарушение требований Муниципального контракта, в том числе в части расписания движения маршрутных транспортных средств, выявленных Центром диспетчеризации пассажирского транспорта муниципального образования города Чебоксары, в отношении ООО «ПКЦ «Одежда» предусмотрены штрафные санкции.</w:t>
            </w:r>
          </w:p>
          <w:p>
            <w:pPr>
              <w:pStyle w:val="Normal"/>
              <w:widowControl/>
              <w:tabs>
                <w:tab w:val="clear" w:pos="708"/>
                <w:tab w:val="left" w:pos="4400" w:leader="none"/>
              </w:tabs>
              <w:suppressAutoHyphens w:val="true"/>
              <w:bidi w:val="0"/>
              <w:spacing w:lineRule="auto" w:line="240" w:before="0" w:after="0"/>
              <w:ind w:firstLine="283" w:left="0" w:right="0"/>
              <w:contextualSpacing/>
              <w:jc w:val="both"/>
              <w:rPr/>
            </w:pPr>
            <w:r>
              <w:rPr>
                <w:rFonts w:eastAsia="Tahoma" w:cs="Noto Sans Devanagari" w:ascii="Times New Roman" w:hAnsi="Times New Roman"/>
                <w:color w:val="auto"/>
                <w:kern w:val="0"/>
                <w:sz w:val="24"/>
                <w:szCs w:val="24"/>
                <w:lang w:val="ru-RU" w:eastAsia="en-US" w:bidi="ar-SA"/>
              </w:rPr>
              <w:t>Для получения актуальной информации о причинах нарушения расписания движения на муниципальном маршруте регулярных перевозок пассажиров и багажа № 41 Вы можете связаться с диспетчером ООО «ПКЦ «Одежда» по телефону 8 (8352) 40-94-70.</w:t>
            </w:r>
          </w:p>
        </w:tc>
      </w:tr>
      <w:tr>
        <w:trPr>
          <w:trHeight w:val="864" w:hRule="atLeast"/>
        </w:trPr>
        <w:tc>
          <w:tcPr>
            <w:tcW w:w="7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numPr>
                <w:ilvl w:val="0"/>
                <w:numId w:val="1"/>
              </w:numPr>
              <w:tabs>
                <w:tab w:val="clear" w:pos="708"/>
                <w:tab w:val="left" w:pos="9253" w:leader="none"/>
              </w:tabs>
              <w:spacing w:lineRule="auto" w:line="240" w:before="0" w:after="0"/>
              <w:ind w:hanging="0" w:left="0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</w:r>
          </w:p>
        </w:tc>
        <w:tc>
          <w:tcPr>
            <w:tcW w:w="4296" w:type="dxa"/>
            <w:tcBorders>
              <w:left w:val="single" w:sz="4" w:space="0" w:color="000000"/>
              <w:bottom w:val="single" w:sz="4" w:space="0" w:color="000000"/>
            </w:tcBorders>
          </w:tcPr>
          <w:p>
            <w:pPr>
              <w:pStyle w:val="Normal"/>
              <w:widowControl/>
              <w:tabs>
                <w:tab w:val="clear" w:pos="708"/>
                <w:tab w:val="left" w:pos="4400" w:leader="none"/>
              </w:tabs>
              <w:spacing w:lineRule="auto" w:line="240" w:before="0" w:after="0"/>
              <w:ind w:hanging="0" w:left="0" w:right="0"/>
              <w:contextualSpacing/>
              <w:jc w:val="both"/>
              <w:rPr>
                <w:rFonts w:ascii="Times New Roman" w:hAnsi="Times New Roman" w:eastAsia="Tahoma" w:cs="Noto Sans Devanagari"/>
                <w:color w:val="auto"/>
                <w:kern w:val="0"/>
                <w:sz w:val="24"/>
                <w:szCs w:val="24"/>
                <w:lang w:val="ru-RU" w:eastAsia="en-US" w:bidi="ar-SA"/>
              </w:rPr>
            </w:pPr>
            <w:r>
              <w:rPr>
                <w:rFonts w:eastAsia="Tahoma" w:cs="Noto Sans Devanagari" w:ascii="Times New Roman" w:hAnsi="Times New Roman"/>
                <w:color w:val="auto"/>
                <w:kern w:val="0"/>
                <w:sz w:val="24"/>
                <w:szCs w:val="24"/>
                <w:lang w:val="ru-RU" w:eastAsia="en-US" w:bidi="ar-SA"/>
              </w:rPr>
              <w:t>В какие сроки планируется строительства школы в микрорайоне «Лента»?</w:t>
            </w:r>
          </w:p>
        </w:tc>
        <w:tc>
          <w:tcPr>
            <w:tcW w:w="2488" w:type="dxa"/>
            <w:tcBorders>
              <w:left w:val="single" w:sz="4" w:space="0" w:color="000000"/>
              <w:bottom w:val="single" w:sz="4" w:space="0" w:color="000000"/>
            </w:tcBorders>
          </w:tcPr>
          <w:p>
            <w:pPr>
              <w:pStyle w:val="Normal"/>
              <w:widowControl/>
              <w:tabs>
                <w:tab w:val="clear" w:pos="708"/>
                <w:tab w:val="left" w:pos="4400" w:leader="none"/>
              </w:tabs>
              <w:spacing w:lineRule="auto" w:line="240" w:before="0" w:after="0"/>
              <w:ind w:hanging="0" w:left="0" w:right="0"/>
              <w:contextualSpacing/>
              <w:jc w:val="left"/>
              <w:rPr/>
            </w:pPr>
            <w:r>
              <w:rPr>
                <w:rFonts w:eastAsia="Tahoma" w:cs="Noto Sans Devanagari" w:ascii="Times New Roman" w:hAnsi="Times New Roman"/>
                <w:color w:val="auto"/>
                <w:kern w:val="0"/>
                <w:sz w:val="24"/>
                <w:szCs w:val="24"/>
                <w:lang w:val="ru-RU" w:eastAsia="en-US" w:bidi="ar-SA"/>
              </w:rPr>
              <w:t xml:space="preserve">Сотрудник ГАПОУ «Чебоксарский профессиональный колледж им. Н.В. Никольского» Минобразовании Чувашии, </w:t>
            </w:r>
            <w:hyperlink r:id="rId2" w:tgtFrame="Информация о доме">
              <w:r>
                <w:rPr>
                  <w:rStyle w:val="Hyperlink"/>
                  <w:rFonts w:eastAsia="Tahoma" w:cs="Noto Sans Devanagari" w:ascii="Times New Roman" w:hAnsi="Times New Roman"/>
                  <w:color w:val="auto"/>
                  <w:kern w:val="0"/>
                  <w:sz w:val="24"/>
                  <w:szCs w:val="24"/>
                  <w:u w:val="none"/>
                  <w:lang w:val="ru-RU" w:eastAsia="en-US" w:bidi="ar-SA"/>
                </w:rPr>
                <w:t>ул. Декабристов, 17</w:t>
              </w:r>
            </w:hyperlink>
          </w:p>
        </w:tc>
        <w:tc>
          <w:tcPr>
            <w:tcW w:w="737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/>
              <w:tabs>
                <w:tab w:val="clear" w:pos="708"/>
                <w:tab w:val="left" w:pos="4400" w:leader="none"/>
              </w:tabs>
              <w:suppressAutoHyphens w:val="true"/>
              <w:bidi w:val="0"/>
              <w:spacing w:lineRule="auto" w:line="240" w:before="0" w:after="0"/>
              <w:ind w:firstLine="283" w:left="0" w:right="0"/>
              <w:contextualSpacing/>
              <w:jc w:val="left"/>
              <w:rPr/>
            </w:pPr>
            <w:r>
              <w:rPr>
                <w:rFonts w:eastAsia="Tahoma" w:cs="Noto Sans Devanagari" w:ascii="Times New Roman" w:hAnsi="Times New Roman"/>
                <w:b/>
                <w:bCs/>
                <w:color w:val="auto"/>
                <w:kern w:val="0"/>
                <w:sz w:val="24"/>
                <w:szCs w:val="24"/>
                <w:lang w:val="ru-RU" w:eastAsia="en-US" w:bidi="ar-SA"/>
              </w:rPr>
              <w:t xml:space="preserve">Минобразования Чувашии </w:t>
            </w:r>
            <w:r>
              <w:rPr>
                <w:rFonts w:eastAsia="Tahoma" w:cs="Noto Sans Devanagari" w:ascii="Times New Roman" w:hAnsi="Times New Roman"/>
                <w:color w:val="auto"/>
                <w:kern w:val="0"/>
                <w:sz w:val="24"/>
                <w:szCs w:val="24"/>
                <w:lang w:val="ru-RU" w:eastAsia="en-US" w:bidi="ar-SA"/>
              </w:rPr>
              <w:t>сообщает.</w:t>
            </w:r>
          </w:p>
          <w:p>
            <w:pPr>
              <w:pStyle w:val="Normal"/>
              <w:widowControl/>
              <w:tabs>
                <w:tab w:val="clear" w:pos="708"/>
                <w:tab w:val="left" w:pos="4400" w:leader="none"/>
              </w:tabs>
              <w:suppressAutoHyphens w:val="true"/>
              <w:bidi w:val="0"/>
              <w:spacing w:lineRule="auto" w:line="240" w:before="0" w:after="0"/>
              <w:ind w:firstLine="283" w:left="0" w:right="0"/>
              <w:contextualSpacing/>
              <w:jc w:val="both"/>
              <w:rPr/>
            </w:pPr>
            <w:r>
              <w:rPr>
                <w:rFonts w:eastAsia="Tahoma" w:cs="Noto Sans Devanagari" w:ascii="Times New Roman" w:hAnsi="Times New Roman"/>
                <w:color w:val="auto"/>
                <w:kern w:val="0"/>
                <w:sz w:val="24"/>
                <w:szCs w:val="24"/>
                <w:lang w:val="ru-RU" w:eastAsia="en-US" w:bidi="ar-SA"/>
              </w:rPr>
              <w:t>В настоящее время в 14 мкр. и Солнечном микрорайоне Новоюжного района г. Чебоксары проживает около 2000 детей школьного возраста, которые обучаются в СОШ 56, 53, НОШ 2. Обучение ведется в две смены.</w:t>
            </w:r>
          </w:p>
          <w:p>
            <w:pPr>
              <w:pStyle w:val="Normal"/>
              <w:widowControl/>
              <w:tabs>
                <w:tab w:val="clear" w:pos="708"/>
                <w:tab w:val="left" w:pos="4400" w:leader="none"/>
              </w:tabs>
              <w:suppressAutoHyphens w:val="true"/>
              <w:bidi w:val="0"/>
              <w:spacing w:lineRule="auto" w:line="240" w:before="0" w:after="0"/>
              <w:ind w:firstLine="283" w:left="0" w:right="0"/>
              <w:contextualSpacing/>
              <w:jc w:val="both"/>
              <w:rPr/>
            </w:pPr>
            <w:r>
              <w:rPr>
                <w:rFonts w:eastAsia="Tahoma" w:cs="Noto Sans Devanagari" w:ascii="Times New Roman" w:hAnsi="Times New Roman"/>
                <w:color w:val="auto"/>
                <w:kern w:val="0"/>
                <w:sz w:val="24"/>
                <w:szCs w:val="24"/>
                <w:lang w:val="ru-RU" w:eastAsia="en-US" w:bidi="ar-SA"/>
              </w:rPr>
              <w:t>В 2022 году Чувашская Республика приняла участие в третьей очереди отбора проектов на предоставление субсидии из федерального бюджета Российской Федерации на строительство общеобразовательных организаций в рамках концессионных соглашений и направила заявки в Минпросвещения России на строительство 7 общеобразовательных организаций, в том числе на строительство средней общеобразовательной школы на 1100 ученических мест в 14 микрорайоне города Чебоксары Чувашской Республики.</w:t>
            </w:r>
          </w:p>
          <w:p>
            <w:pPr>
              <w:pStyle w:val="Normal"/>
              <w:widowControl/>
              <w:tabs>
                <w:tab w:val="clear" w:pos="708"/>
                <w:tab w:val="left" w:pos="4400" w:leader="none"/>
              </w:tabs>
              <w:suppressAutoHyphens w:val="true"/>
              <w:bidi w:val="0"/>
              <w:spacing w:lineRule="auto" w:line="240" w:before="0" w:after="0"/>
              <w:ind w:firstLine="283" w:left="0" w:right="0"/>
              <w:contextualSpacing/>
              <w:jc w:val="both"/>
              <w:rPr/>
            </w:pPr>
            <w:r>
              <w:rPr>
                <w:rFonts w:eastAsia="Tahoma" w:cs="Noto Sans Devanagari" w:ascii="Times New Roman" w:hAnsi="Times New Roman"/>
                <w:color w:val="auto"/>
                <w:kern w:val="0"/>
                <w:sz w:val="24"/>
                <w:szCs w:val="24"/>
                <w:lang w:val="ru-RU" w:eastAsia="en-US" w:bidi="ar-SA"/>
              </w:rPr>
              <w:t>Данный объект по результатам рассмотрения Минпросвещением России отбор не прошел. В 2024 году был заключен контракт между КУ ЧР «Республиканской службой единого заказчика» Министерства строительства, архитектуры и жилищно-коммунального хозяйства Чувашской Республики и АО «Волгоэнергопромстройпроект» г. Самара на выполнение проекта по объекту: «Строительство объекта «Средняя общеобразовательная школа на 1100 мест в 14 микрорайоне НЮР г. Чебоксары» в 14 мкр. Новоюжного района г. Чебоксары. Срок выполнения работ 2025 г.</w:t>
            </w:r>
          </w:p>
          <w:p>
            <w:pPr>
              <w:pStyle w:val="Normal"/>
              <w:widowControl/>
              <w:tabs>
                <w:tab w:val="clear" w:pos="708"/>
                <w:tab w:val="left" w:pos="4400" w:leader="none"/>
              </w:tabs>
              <w:suppressAutoHyphens w:val="true"/>
              <w:bidi w:val="0"/>
              <w:spacing w:lineRule="auto" w:line="240" w:before="0" w:after="0"/>
              <w:ind w:firstLine="283" w:left="0" w:right="0"/>
              <w:contextualSpacing/>
              <w:jc w:val="both"/>
              <w:rPr/>
            </w:pPr>
            <w:r>
              <w:rPr>
                <w:rFonts w:eastAsia="Tahoma" w:cs="Noto Sans Devanagari" w:ascii="Times New Roman" w:hAnsi="Times New Roman"/>
                <w:color w:val="auto"/>
                <w:kern w:val="0"/>
                <w:sz w:val="24"/>
                <w:szCs w:val="24"/>
                <w:lang w:val="ru-RU" w:eastAsia="en-US" w:bidi="ar-SA"/>
              </w:rPr>
              <w:t>По результатам получения положительного заключения государственной экспертизы будет направлено обращение в Минпросвещения России о возможности выделения средств федерального бюджета Российской Федерации.</w:t>
            </w:r>
          </w:p>
        </w:tc>
      </w:tr>
      <w:tr>
        <w:trPr>
          <w:trHeight w:val="864" w:hRule="atLeast"/>
        </w:trPr>
        <w:tc>
          <w:tcPr>
            <w:tcW w:w="7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numPr>
                <w:ilvl w:val="0"/>
                <w:numId w:val="1"/>
              </w:numPr>
              <w:tabs>
                <w:tab w:val="clear" w:pos="708"/>
                <w:tab w:val="left" w:pos="9253" w:leader="none"/>
              </w:tabs>
              <w:spacing w:lineRule="auto" w:line="240" w:before="0" w:after="0"/>
              <w:ind w:hanging="0" w:left="0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</w:r>
          </w:p>
        </w:tc>
        <w:tc>
          <w:tcPr>
            <w:tcW w:w="4296" w:type="dxa"/>
            <w:tcBorders>
              <w:left w:val="single" w:sz="4" w:space="0" w:color="000000"/>
              <w:bottom w:val="single" w:sz="4" w:space="0" w:color="000000"/>
            </w:tcBorders>
          </w:tcPr>
          <w:p>
            <w:pPr>
              <w:pStyle w:val="Normal"/>
              <w:widowControl/>
              <w:tabs>
                <w:tab w:val="clear" w:pos="708"/>
                <w:tab w:val="left" w:pos="4400" w:leader="none"/>
              </w:tabs>
              <w:spacing w:lineRule="auto" w:line="240" w:before="0" w:after="0"/>
              <w:ind w:hanging="0" w:left="0" w:right="0"/>
              <w:contextualSpacing/>
              <w:jc w:val="both"/>
              <w:rPr/>
            </w:pPr>
            <w:r>
              <w:rPr>
                <w:rFonts w:eastAsia="Tahoma" w:cs="Noto Sans Devanagari" w:ascii="Times New Roman" w:hAnsi="Times New Roman"/>
                <w:color w:val="auto"/>
                <w:kern w:val="0"/>
                <w:sz w:val="24"/>
                <w:szCs w:val="24"/>
                <w:lang w:val="ru-RU" w:eastAsia="en-US" w:bidi="ar-SA"/>
              </w:rPr>
              <w:t>Просим увеличить маршруты поездок по Волге в соседние регионы (как в Казань).</w:t>
            </w:r>
          </w:p>
        </w:tc>
        <w:tc>
          <w:tcPr>
            <w:tcW w:w="2488" w:type="dxa"/>
            <w:tcBorders>
              <w:left w:val="single" w:sz="4" w:space="0" w:color="000000"/>
              <w:bottom w:val="single" w:sz="4" w:space="0" w:color="000000"/>
            </w:tcBorders>
          </w:tcPr>
          <w:p>
            <w:pPr>
              <w:pStyle w:val="Normal"/>
              <w:widowControl/>
              <w:tabs>
                <w:tab w:val="clear" w:pos="708"/>
                <w:tab w:val="left" w:pos="4400" w:leader="none"/>
              </w:tabs>
              <w:spacing w:lineRule="auto" w:line="240" w:before="0" w:after="0"/>
              <w:ind w:hanging="0" w:left="0" w:right="0"/>
              <w:contextualSpacing/>
              <w:jc w:val="both"/>
              <w:rPr/>
            </w:pPr>
            <w:r>
              <w:rPr>
                <w:rFonts w:eastAsia="Tahoma" w:cs="Noto Sans Devanagari" w:ascii="Times New Roman" w:hAnsi="Times New Roman"/>
                <w:color w:val="auto"/>
                <w:kern w:val="0"/>
                <w:sz w:val="24"/>
                <w:szCs w:val="24"/>
                <w:lang w:val="ru-RU" w:eastAsia="en-US" w:bidi="ar-SA"/>
              </w:rPr>
              <w:t>Сотрудники ГАПОУ ЧР «Чебоксарский техникум транспортных и строительных технологий» Министерства образования и молодежной политики Чувашской Республики</w:t>
            </w:r>
          </w:p>
        </w:tc>
        <w:tc>
          <w:tcPr>
            <w:tcW w:w="73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/>
              <w:tabs>
                <w:tab w:val="clear" w:pos="708"/>
                <w:tab w:val="left" w:pos="4400" w:leader="none"/>
              </w:tabs>
              <w:suppressAutoHyphens w:val="true"/>
              <w:bidi w:val="0"/>
              <w:spacing w:lineRule="auto" w:line="240" w:before="0" w:after="0"/>
              <w:ind w:firstLine="283" w:left="0" w:right="0"/>
              <w:contextualSpacing/>
              <w:jc w:val="left"/>
              <w:rPr/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Минтранс Чувашии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сообщает следующее.</w:t>
            </w:r>
          </w:p>
          <w:p>
            <w:pPr>
              <w:pStyle w:val="Normal"/>
              <w:widowControl/>
              <w:tabs>
                <w:tab w:val="clear" w:pos="708"/>
                <w:tab w:val="left" w:pos="4400" w:leader="none"/>
              </w:tabs>
              <w:suppressAutoHyphens w:val="true"/>
              <w:bidi w:val="0"/>
              <w:spacing w:lineRule="auto" w:line="240" w:before="0" w:after="0"/>
              <w:ind w:firstLine="283" w:left="0" w:right="0"/>
              <w:contextualSpacing/>
              <w:jc w:val="both"/>
              <w:rPr/>
            </w:pPr>
            <w:r>
              <w:rPr>
                <w:rFonts w:ascii="Times New Roman" w:hAnsi="Times New Roman"/>
                <w:sz w:val="24"/>
                <w:szCs w:val="24"/>
              </w:rPr>
              <w:t>Начиная с 2024 года Министерством транспорта Российской Федерации совместно с Росморречфлотом и субъектами Российской Федерации реализуется федеральный проект развития пассажирских перевозок внутренним водным транспортом «Речные магистрали». В рамках проекта предусмотрено субсидирование пассажирских перевозок внутренним водным транспортом из федерального бюджета и софинансирование таких перевозок из бюджетов субъектов Российской Федерации.</w:t>
            </w:r>
          </w:p>
          <w:p>
            <w:pPr>
              <w:pStyle w:val="Normal"/>
              <w:widowControl/>
              <w:tabs>
                <w:tab w:val="clear" w:pos="708"/>
                <w:tab w:val="left" w:pos="4400" w:leader="none"/>
              </w:tabs>
              <w:suppressAutoHyphens w:val="true"/>
              <w:bidi w:val="0"/>
              <w:spacing w:lineRule="auto" w:line="240" w:before="0" w:after="0"/>
              <w:ind w:firstLine="283" w:left="0" w:right="0"/>
              <w:contextualSpacing/>
              <w:jc w:val="both"/>
              <w:rPr/>
            </w:pPr>
            <w:r>
              <w:rPr>
                <w:rFonts w:ascii="Times New Roman" w:hAnsi="Times New Roman"/>
                <w:sz w:val="24"/>
                <w:szCs w:val="24"/>
              </w:rPr>
              <w:t>1 этап проекта «Речные магистрали» реализуется в трех субъектах Российской Федерации: Чувашской Республике, Нижегородской области и Республике Татарстан от Городца до Ульяновска.</w:t>
            </w:r>
          </w:p>
          <w:p>
            <w:pPr>
              <w:pStyle w:val="Normal"/>
              <w:widowControl/>
              <w:tabs>
                <w:tab w:val="clear" w:pos="708"/>
                <w:tab w:val="left" w:pos="4400" w:leader="none"/>
              </w:tabs>
              <w:suppressAutoHyphens w:val="true"/>
              <w:bidi w:val="0"/>
              <w:spacing w:lineRule="auto" w:line="240" w:before="0" w:after="0"/>
              <w:ind w:firstLine="283" w:left="0" w:right="0"/>
              <w:contextualSpacing/>
              <w:jc w:val="both"/>
              <w:rPr/>
            </w:pPr>
            <w:r>
              <w:rPr>
                <w:rFonts w:ascii="Times New Roman" w:hAnsi="Times New Roman"/>
                <w:sz w:val="24"/>
                <w:szCs w:val="24"/>
              </w:rPr>
              <w:t>В рамках реализации проекта в 2024 году осуществлялись речные перевозки по маршрутам «Нижний Новгород – Козьмодемьянск – Чебоксары – Казань – Ульяновск», «Чебоксары – Казань», «Чебоксары – Свияжск» и «Казань – Ульяновск». В 2025 году реализация федерального проекта будет продолжена. В настоящее время Росморречфлотом определяется перечень маршрутов регулярных перевозок внутреннего водного транспорта, на которых будут осуществляться субсидируемые перевозки в рамках проекта в 2025 году. Количество межрегиональных речных маршрутов в навигацию 2025 года может быть увеличено по сравнению с 2024 годом. В том числе, в 2024 году речные суда Республики Татарстан не были задействованы для осуществления перевозок по маршруту «Чебоксары – Казань» в связи с технической неисправностью судов. Указанное обстоятельство не позволило освободить суда Чувашской Республики с маршрута «Чебоксары – Казань» для осуществления перевозок на иных направлениях. В 2025 году планируется осуществление перевозок по маршруту «Чебоксары – Казань» на паритетных условиях Чувашской Республикой и Республикой Татарстан. Чувашская Республика получит возможность использовать высвободившиеся с маршрута речные суда для перевозок по иным маршрутам.</w:t>
            </w:r>
          </w:p>
        </w:tc>
      </w:tr>
      <w:tr>
        <w:trPr>
          <w:trHeight w:val="864" w:hRule="atLeast"/>
        </w:trPr>
        <w:tc>
          <w:tcPr>
            <w:tcW w:w="7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numPr>
                <w:ilvl w:val="0"/>
                <w:numId w:val="1"/>
              </w:numPr>
              <w:tabs>
                <w:tab w:val="clear" w:pos="708"/>
                <w:tab w:val="left" w:pos="9253" w:leader="none"/>
              </w:tabs>
              <w:spacing w:lineRule="auto" w:line="240" w:before="0" w:after="0"/>
              <w:ind w:hanging="0" w:left="0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</w:r>
          </w:p>
        </w:tc>
        <w:tc>
          <w:tcPr>
            <w:tcW w:w="42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>
            <w:pPr>
              <w:pStyle w:val="Normal"/>
              <w:numPr>
                <w:ilvl w:val="0"/>
                <w:numId w:val="0"/>
              </w:numPr>
              <w:tabs>
                <w:tab w:val="clear" w:pos="708"/>
                <w:tab w:val="left" w:pos="4400" w:leader="none"/>
              </w:tabs>
              <w:spacing w:lineRule="auto" w:line="240" w:before="0" w:after="0"/>
              <w:ind w:hanging="0" w:left="0" w:right="0"/>
              <w:contextualSpacing/>
              <w:jc w:val="both"/>
              <w:rPr>
                <w:rFonts w:ascii="Times New Roman" w:hAnsi="Times New Roman" w:eastAsia="Tahoma" w:cs="Noto Sans Devanagari"/>
                <w:color w:val="000000"/>
                <w:kern w:val="0"/>
                <w:sz w:val="24"/>
                <w:szCs w:val="24"/>
                <w:lang w:val="ru-RU" w:eastAsia="en-US" w:bidi="ar-SA"/>
              </w:rPr>
            </w:pPr>
            <w:r>
              <w:rPr>
                <w:rFonts w:eastAsia="Tahoma" w:cs="Noto Sans Devanagari" w:ascii="Times New Roman" w:hAnsi="Times New Roman"/>
                <w:color w:val="000000"/>
                <w:kern w:val="0"/>
                <w:sz w:val="24"/>
                <w:szCs w:val="24"/>
                <w:lang w:val="ru-RU" w:eastAsia="en-US" w:bidi="ar-SA"/>
              </w:rPr>
              <w:t>Когда планируется строительство сельского клуба в д. Кульгеши Урмарского МО?</w:t>
            </w:r>
          </w:p>
        </w:tc>
        <w:tc>
          <w:tcPr>
            <w:tcW w:w="24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>
            <w:pPr>
              <w:pStyle w:val="Normal"/>
              <w:tabs>
                <w:tab w:val="clear" w:pos="708"/>
                <w:tab w:val="left" w:pos="4400" w:leader="none"/>
              </w:tabs>
              <w:spacing w:lineRule="auto" w:line="240" w:before="0" w:after="0"/>
              <w:ind w:hanging="0" w:left="0" w:right="0"/>
              <w:contextualSpacing/>
              <w:jc w:val="left"/>
              <w:rPr>
                <w:rFonts w:ascii="Times New Roman" w:hAnsi="Times New Roman" w:eastAsia="Tahoma" w:cs="Noto Sans Devanagari"/>
                <w:color w:val="000000"/>
                <w:kern w:val="0"/>
                <w:sz w:val="24"/>
                <w:szCs w:val="24"/>
                <w:lang w:val="ru-RU" w:eastAsia="en-US" w:bidi="ar-SA"/>
              </w:rPr>
            </w:pPr>
            <w:r>
              <w:rPr>
                <w:rFonts w:eastAsia="Tahoma" w:cs="Noto Sans Devanagari" w:ascii="Times New Roman" w:hAnsi="Times New Roman"/>
                <w:color w:val="000000"/>
                <w:kern w:val="0"/>
                <w:sz w:val="24"/>
                <w:szCs w:val="24"/>
                <w:lang w:val="ru-RU" w:eastAsia="en-US" w:bidi="ar-SA"/>
              </w:rPr>
              <w:t>Жительница Урмарского МО</w:t>
            </w:r>
          </w:p>
        </w:tc>
        <w:tc>
          <w:tcPr>
            <w:tcW w:w="73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/>
              <w:tabs>
                <w:tab w:val="clear" w:pos="708"/>
                <w:tab w:val="left" w:pos="4400" w:leader="none"/>
              </w:tabs>
              <w:suppressAutoHyphens w:val="true"/>
              <w:bidi w:val="0"/>
              <w:spacing w:lineRule="auto" w:line="240" w:before="0" w:after="0"/>
              <w:ind w:firstLine="283" w:left="0" w:right="0"/>
              <w:contextualSpacing/>
              <w:jc w:val="left"/>
              <w:rPr/>
            </w:pPr>
            <w:hyperlink r:id="rId3">
              <w:r>
                <w:rPr>
                  <w:rStyle w:val="Hyperlink"/>
                  <w:rFonts w:eastAsia="Tahoma" w:cs="Noto Sans Devanagari" w:ascii="Times New Roman" w:hAnsi="Times New Roman"/>
                  <w:b/>
                  <w:bCs/>
                  <w:color w:val="000000"/>
                  <w:kern w:val="0"/>
                  <w:sz w:val="24"/>
                  <w:szCs w:val="24"/>
                  <w:u w:val="none"/>
                  <w:lang w:val="ru-RU" w:eastAsia="en-US" w:bidi="ar-SA"/>
                </w:rPr>
                <w:t>Минкультуры Чувашии</w:t>
              </w:r>
            </w:hyperlink>
            <w:r>
              <w:rPr>
                <w:rStyle w:val="Hyperlink"/>
                <w:rFonts w:eastAsia="Tahoma" w:cs="Noto Sans Devanagari" w:ascii="Times New Roman" w:hAnsi="Times New Roman"/>
                <w:color w:val="000000"/>
                <w:kern w:val="0"/>
                <w:sz w:val="24"/>
                <w:szCs w:val="24"/>
                <w:u w:val="none"/>
                <w:lang w:val="ru-RU" w:eastAsia="en-US" w:bidi="ar-SA"/>
              </w:rPr>
              <w:t xml:space="preserve"> сообщает следующее.</w:t>
            </w:r>
          </w:p>
          <w:p>
            <w:pPr>
              <w:pStyle w:val="Normal"/>
              <w:widowControl/>
              <w:tabs>
                <w:tab w:val="clear" w:pos="708"/>
                <w:tab w:val="left" w:pos="4400" w:leader="none"/>
              </w:tabs>
              <w:suppressAutoHyphens w:val="true"/>
              <w:bidi w:val="0"/>
              <w:spacing w:lineRule="auto" w:line="240" w:before="0" w:after="0"/>
              <w:ind w:firstLine="283" w:left="0" w:right="0"/>
              <w:contextualSpacing/>
              <w:jc w:val="both"/>
              <w:rPr/>
            </w:pPr>
            <w:r>
              <w:rPr>
                <w:rStyle w:val="Hyperlink"/>
                <w:rFonts w:eastAsia="Tahoma" w:cs="Noto Sans Devanagari" w:ascii="Times New Roman" w:hAnsi="Times New Roman"/>
                <w:color w:val="auto"/>
                <w:kern w:val="0"/>
                <w:sz w:val="24"/>
                <w:szCs w:val="24"/>
                <w:u w:val="none"/>
                <w:lang w:val="ru-RU" w:eastAsia="en-US" w:bidi="ar-SA"/>
              </w:rPr>
              <w:t>Объект включен в Комплексную программу социально-экономического развития Чувашской Республики на 2025-2030 гг.</w:t>
            </w:r>
          </w:p>
          <w:p>
            <w:pPr>
              <w:pStyle w:val="Normal"/>
              <w:widowControl/>
              <w:tabs>
                <w:tab w:val="clear" w:pos="708"/>
                <w:tab w:val="left" w:pos="4400" w:leader="none"/>
              </w:tabs>
              <w:suppressAutoHyphens w:val="true"/>
              <w:bidi w:val="0"/>
              <w:spacing w:lineRule="auto" w:line="240" w:before="0" w:after="0"/>
              <w:ind w:firstLine="283" w:left="0" w:right="0"/>
              <w:contextualSpacing/>
              <w:jc w:val="both"/>
              <w:rPr/>
            </w:pPr>
            <w:r>
              <w:rPr>
                <w:rStyle w:val="Hyperlink"/>
                <w:rFonts w:eastAsia="Tahoma" w:cs="Noto Sans Devanagari" w:ascii="Times New Roman" w:hAnsi="Times New Roman"/>
                <w:color w:val="auto"/>
                <w:kern w:val="0"/>
                <w:sz w:val="24"/>
                <w:szCs w:val="24"/>
                <w:u w:val="none"/>
                <w:lang w:val="ru-RU" w:eastAsia="en-US" w:bidi="ar-SA"/>
              </w:rPr>
              <w:t>С учетом возможностей республиканского бюджета Чувашской Республики и наличия средств в бюджете Урмарского муниципального округа вопрос строительства Объекта будет рассмотрен при формировании бюджета на 2026 год.</w:t>
            </w:r>
          </w:p>
          <w:p>
            <w:pPr>
              <w:pStyle w:val="Normal"/>
              <w:widowControl/>
              <w:tabs>
                <w:tab w:val="clear" w:pos="708"/>
                <w:tab w:val="left" w:pos="4400" w:leader="none"/>
              </w:tabs>
              <w:suppressAutoHyphens w:val="true"/>
              <w:bidi w:val="0"/>
              <w:spacing w:lineRule="auto" w:line="240" w:before="0" w:after="0"/>
              <w:ind w:firstLine="283" w:left="0" w:right="0"/>
              <w:contextualSpacing/>
              <w:jc w:val="both"/>
              <w:rPr/>
            </w:pPr>
            <w:r>
              <w:rPr>
                <w:rStyle w:val="Hyperlink"/>
                <w:rFonts w:eastAsia="Tahoma" w:cs="Noto Sans Devanagari" w:ascii="Times New Roman" w:hAnsi="Times New Roman"/>
                <w:color w:val="auto"/>
                <w:kern w:val="0"/>
                <w:sz w:val="24"/>
                <w:szCs w:val="24"/>
                <w:u w:val="none"/>
                <w:lang w:val="ru-RU" w:eastAsia="en-US" w:bidi="ar-SA"/>
              </w:rPr>
              <w:t>Также сообщаем, что в 2025 году ведется строительство сельского дома культуры на 150 мест в с. Старые Урмары Урмарского муниципального округа.</w:t>
            </w:r>
          </w:p>
        </w:tc>
      </w:tr>
      <w:tr>
        <w:trPr>
          <w:trHeight w:val="864" w:hRule="atLeast"/>
        </w:trPr>
        <w:tc>
          <w:tcPr>
            <w:tcW w:w="7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numPr>
                <w:ilvl w:val="0"/>
                <w:numId w:val="1"/>
              </w:numPr>
              <w:tabs>
                <w:tab w:val="clear" w:pos="708"/>
                <w:tab w:val="left" w:pos="9253" w:leader="none"/>
              </w:tabs>
              <w:spacing w:lineRule="auto" w:line="240" w:before="0" w:after="0"/>
              <w:ind w:hanging="0" w:left="0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</w:r>
          </w:p>
        </w:tc>
        <w:tc>
          <w:tcPr>
            <w:tcW w:w="4296" w:type="dxa"/>
            <w:tcBorders>
              <w:left w:val="single" w:sz="4" w:space="0" w:color="000000"/>
              <w:bottom w:val="single" w:sz="4" w:space="0" w:color="000000"/>
            </w:tcBorders>
          </w:tcPr>
          <w:p>
            <w:pPr>
              <w:pStyle w:val="Normal"/>
              <w:numPr>
                <w:ilvl w:val="0"/>
                <w:numId w:val="0"/>
              </w:numPr>
              <w:tabs>
                <w:tab w:val="clear" w:pos="708"/>
                <w:tab w:val="left" w:pos="4400" w:leader="none"/>
              </w:tabs>
              <w:spacing w:lineRule="auto" w:line="240" w:before="0" w:after="0"/>
              <w:ind w:hanging="0" w:left="0" w:right="0"/>
              <w:contextualSpacing/>
              <w:jc w:val="both"/>
              <w:rPr>
                <w:rFonts w:ascii="Times New Roman" w:hAnsi="Times New Roman" w:eastAsia="Tahoma" w:cs="Noto Sans Devanagari"/>
                <w:color w:val="000000"/>
                <w:kern w:val="0"/>
                <w:sz w:val="24"/>
                <w:szCs w:val="24"/>
                <w:lang w:val="ru-RU" w:eastAsia="en-US" w:bidi="ar-SA"/>
              </w:rPr>
            </w:pPr>
            <w:r>
              <w:rPr>
                <w:rFonts w:eastAsia="Tahoma" w:cs="Noto Sans Devanagari" w:ascii="Times New Roman" w:hAnsi="Times New Roman"/>
                <w:color w:val="000000"/>
                <w:kern w:val="0"/>
                <w:sz w:val="24"/>
                <w:szCs w:val="24"/>
                <w:lang w:val="ru-RU" w:eastAsia="en-US" w:bidi="ar-SA"/>
              </w:rPr>
              <w:t>Планируется ли строительство ФАП в д. Кульгеши Урмарского МО?</w:t>
            </w:r>
          </w:p>
        </w:tc>
        <w:tc>
          <w:tcPr>
            <w:tcW w:w="2488" w:type="dxa"/>
            <w:tcBorders>
              <w:left w:val="single" w:sz="4" w:space="0" w:color="000000"/>
              <w:bottom w:val="single" w:sz="4" w:space="0" w:color="000000"/>
            </w:tcBorders>
          </w:tcPr>
          <w:p>
            <w:pPr>
              <w:pStyle w:val="Normal"/>
              <w:tabs>
                <w:tab w:val="clear" w:pos="708"/>
                <w:tab w:val="left" w:pos="4400" w:leader="none"/>
              </w:tabs>
              <w:spacing w:lineRule="auto" w:line="240" w:before="0" w:after="0"/>
              <w:ind w:hanging="0" w:left="0" w:right="0"/>
              <w:contextualSpacing/>
              <w:jc w:val="left"/>
              <w:rPr>
                <w:rFonts w:ascii="Times New Roman" w:hAnsi="Times New Roman" w:eastAsia="Tahoma" w:cs="Noto Sans Devanagari"/>
                <w:color w:val="000000"/>
                <w:kern w:val="0"/>
                <w:sz w:val="24"/>
                <w:szCs w:val="24"/>
                <w:lang w:val="ru-RU" w:eastAsia="en-US" w:bidi="ar-SA"/>
              </w:rPr>
            </w:pPr>
            <w:r>
              <w:rPr>
                <w:rFonts w:eastAsia="Tahoma" w:cs="Noto Sans Devanagari" w:ascii="Times New Roman" w:hAnsi="Times New Roman"/>
                <w:color w:val="000000"/>
                <w:kern w:val="0"/>
                <w:sz w:val="24"/>
                <w:szCs w:val="24"/>
                <w:lang w:val="ru-RU" w:eastAsia="en-US" w:bidi="ar-SA"/>
              </w:rPr>
              <w:t>Жительница Урмарского МО</w:t>
            </w:r>
          </w:p>
        </w:tc>
        <w:tc>
          <w:tcPr>
            <w:tcW w:w="737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tabs>
                <w:tab w:val="clear" w:pos="708"/>
                <w:tab w:val="left" w:pos="565" w:leader="none"/>
                <w:tab w:val="left" w:pos="4400" w:leader="none"/>
              </w:tabs>
              <w:spacing w:lineRule="auto" w:line="240" w:before="0" w:after="0"/>
              <w:ind w:firstLine="283" w:left="0" w:right="0"/>
              <w:contextualSpacing/>
              <w:jc w:val="left"/>
              <w:rPr/>
            </w:pPr>
            <w:r>
              <w:rPr>
                <w:rFonts w:eastAsia="Tahoma" w:cs="Noto Sans Devanagari" w:ascii="Times New Roman" w:hAnsi="Times New Roman"/>
                <w:b/>
                <w:bCs/>
                <w:color w:val="000000"/>
                <w:kern w:val="0"/>
                <w:sz w:val="24"/>
                <w:szCs w:val="24"/>
                <w:lang w:val="ru-RU" w:eastAsia="en-US" w:bidi="ar-SA"/>
              </w:rPr>
              <w:t>Минздрав Чувашии</w:t>
            </w:r>
            <w:r>
              <w:rPr>
                <w:rFonts w:eastAsia="Tahoma" w:cs="Noto Sans Devanagari" w:ascii="Times New Roman" w:hAnsi="Times New Roman"/>
                <w:color w:val="000000"/>
                <w:kern w:val="0"/>
                <w:sz w:val="24"/>
                <w:szCs w:val="24"/>
                <w:lang w:val="ru-RU" w:eastAsia="en-US" w:bidi="ar-SA"/>
              </w:rPr>
              <w:t xml:space="preserve"> сообщает.</w:t>
            </w:r>
          </w:p>
          <w:p>
            <w:pPr>
              <w:pStyle w:val="Normal"/>
              <w:tabs>
                <w:tab w:val="clear" w:pos="708"/>
                <w:tab w:val="left" w:pos="565" w:leader="none"/>
                <w:tab w:val="left" w:pos="4400" w:leader="none"/>
              </w:tabs>
              <w:spacing w:lineRule="auto" w:line="240" w:before="0" w:after="0"/>
              <w:ind w:firstLine="283" w:left="0" w:right="0"/>
              <w:contextualSpacing/>
              <w:jc w:val="both"/>
              <w:rPr/>
            </w:pPr>
            <w:r>
              <w:rPr>
                <w:rFonts w:eastAsia="Tahoma" w:cs="Noto Sans Devanagari" w:ascii="Times New Roman" w:hAnsi="Times New Roman"/>
                <w:color w:val="000000"/>
                <w:kern w:val="0"/>
                <w:sz w:val="24"/>
                <w:szCs w:val="24"/>
                <w:lang w:val="ru-RU" w:eastAsia="en-US" w:bidi="ar-SA"/>
              </w:rPr>
              <w:t>По данным Территориального органа Федеральной службы государственной статистики по Чувашской Республике численность населения в д. Кульгеши по итогам Всероссийской переписи населения 2020 года (по состоянию на 1 октября 2021 г.) составила 203 человека.</w:t>
            </w:r>
          </w:p>
          <w:p>
            <w:pPr>
              <w:pStyle w:val="Normal"/>
              <w:tabs>
                <w:tab w:val="clear" w:pos="708"/>
                <w:tab w:val="left" w:pos="565" w:leader="none"/>
                <w:tab w:val="left" w:pos="4400" w:leader="none"/>
              </w:tabs>
              <w:spacing w:lineRule="auto" w:line="240" w:before="0" w:after="0"/>
              <w:ind w:firstLine="283" w:left="0" w:right="0"/>
              <w:contextualSpacing/>
              <w:jc w:val="both"/>
              <w:rPr/>
            </w:pPr>
            <w:r>
              <w:rPr>
                <w:rFonts w:eastAsia="Tahoma" w:cs="Noto Sans Devanagari" w:ascii="Times New Roman" w:hAnsi="Times New Roman"/>
                <w:color w:val="000000"/>
                <w:kern w:val="0"/>
                <w:sz w:val="24"/>
                <w:szCs w:val="24"/>
                <w:lang w:val="ru-RU" w:eastAsia="en-US" w:bidi="ar-SA"/>
              </w:rPr>
              <w:t>Согласно пункту 19.2 Положения об организации оказания первичной медикосанитарной помощи взрослому населению, утвержденного приказом Министерства здравоохранения и социального развития Российской Федерации от 15 мая 2012 г. № 543н, в населенных пунктах с числом жителей 100-300 человек организуются фельдшерско-акушерские пункты или фельдшерские здравпункты в случае, если расстояние от фельдшерско-акушерского пункта, фельдшерского здравпункта до ближайшей медицинской организации превышает 6 км.</w:t>
            </w:r>
          </w:p>
          <w:p>
            <w:pPr>
              <w:pStyle w:val="Normal"/>
              <w:tabs>
                <w:tab w:val="clear" w:pos="708"/>
                <w:tab w:val="left" w:pos="565" w:leader="none"/>
                <w:tab w:val="left" w:pos="4400" w:leader="none"/>
              </w:tabs>
              <w:spacing w:lineRule="auto" w:line="240" w:before="0" w:after="0"/>
              <w:ind w:firstLine="283" w:left="0" w:right="0"/>
              <w:contextualSpacing/>
              <w:jc w:val="both"/>
              <w:rPr/>
            </w:pPr>
            <w:r>
              <w:rPr>
                <w:rFonts w:eastAsia="Tahoma" w:cs="Noto Sans Devanagari" w:ascii="Times New Roman" w:hAnsi="Times New Roman"/>
                <w:color w:val="000000"/>
                <w:kern w:val="0"/>
                <w:sz w:val="24"/>
                <w:szCs w:val="24"/>
                <w:lang w:val="ru-RU" w:eastAsia="en-US" w:bidi="ar-SA"/>
              </w:rPr>
              <w:t>Учитывая, что в 3,8 км от д. Кульгеши расположен фельдшерско-акушерский пункт в д. Тансарино, построенный взамен ветхого в 2024 году, создание нового фельдшерско-акушерского пункта в д. Кульгеши не планируется.</w:t>
            </w:r>
          </w:p>
        </w:tc>
      </w:tr>
      <w:tr>
        <w:trPr>
          <w:trHeight w:val="864" w:hRule="atLeast"/>
        </w:trPr>
        <w:tc>
          <w:tcPr>
            <w:tcW w:w="7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numPr>
                <w:ilvl w:val="0"/>
                <w:numId w:val="1"/>
              </w:numPr>
              <w:tabs>
                <w:tab w:val="clear" w:pos="708"/>
                <w:tab w:val="left" w:pos="9253" w:leader="none"/>
              </w:tabs>
              <w:spacing w:lineRule="auto" w:line="240" w:before="0" w:after="0"/>
              <w:ind w:hanging="0" w:left="0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</w:r>
          </w:p>
        </w:tc>
        <w:tc>
          <w:tcPr>
            <w:tcW w:w="4296" w:type="dxa"/>
            <w:tcBorders>
              <w:left w:val="single" w:sz="4" w:space="0" w:color="000000"/>
              <w:bottom w:val="single" w:sz="4" w:space="0" w:color="000000"/>
            </w:tcBorders>
          </w:tcPr>
          <w:p>
            <w:pPr>
              <w:pStyle w:val="Normal"/>
              <w:numPr>
                <w:ilvl w:val="0"/>
                <w:numId w:val="0"/>
              </w:numPr>
              <w:tabs>
                <w:tab w:val="clear" w:pos="708"/>
                <w:tab w:val="left" w:pos="4400" w:leader="none"/>
                <w:tab w:val="left" w:pos="6353" w:leader="none"/>
              </w:tabs>
              <w:spacing w:lineRule="auto" w:line="240" w:before="0" w:after="0"/>
              <w:ind w:hanging="0" w:left="0" w:right="0"/>
              <w:contextualSpacing/>
              <w:jc w:val="both"/>
              <w:rPr>
                <w:rFonts w:ascii="Times New Roman" w:hAnsi="Times New Roman" w:eastAsia="Tahoma" w:cs="Noto Sans Devanagari"/>
                <w:color w:val="000000"/>
                <w:kern w:val="0"/>
                <w:sz w:val="24"/>
                <w:szCs w:val="24"/>
                <w:lang w:val="ru-RU" w:eastAsia="en-US" w:bidi="ar-SA"/>
              </w:rPr>
            </w:pPr>
            <w:r>
              <w:rPr>
                <w:rFonts w:eastAsia="Tahoma" w:cs="Noto Sans Devanagari" w:ascii="Times New Roman" w:hAnsi="Times New Roman"/>
                <w:color w:val="000000"/>
                <w:kern w:val="0"/>
                <w:sz w:val="24"/>
                <w:szCs w:val="24"/>
                <w:lang w:val="ru-RU" w:eastAsia="en-US" w:bidi="ar-SA"/>
              </w:rPr>
              <w:t>Планируется ли ремонт Ковалинской сельской библиотеки и музея, расположенных в здании Ковалинского сельского клуба?</w:t>
            </w:r>
          </w:p>
        </w:tc>
        <w:tc>
          <w:tcPr>
            <w:tcW w:w="2488" w:type="dxa"/>
            <w:tcBorders>
              <w:left w:val="single" w:sz="4" w:space="0" w:color="000000"/>
              <w:bottom w:val="single" w:sz="4" w:space="0" w:color="000000"/>
            </w:tcBorders>
          </w:tcPr>
          <w:p>
            <w:pPr>
              <w:pStyle w:val="Normal"/>
              <w:tabs>
                <w:tab w:val="clear" w:pos="708"/>
                <w:tab w:val="left" w:pos="4400" w:leader="none"/>
              </w:tabs>
              <w:spacing w:lineRule="auto" w:line="240" w:before="0" w:after="0"/>
              <w:ind w:hanging="0" w:left="0" w:right="0"/>
              <w:contextualSpacing/>
              <w:jc w:val="left"/>
              <w:rPr>
                <w:rFonts w:ascii="Times New Roman" w:hAnsi="Times New Roman" w:eastAsia="Tahoma" w:cs="Noto Sans Devanagari"/>
                <w:color w:val="000000"/>
                <w:kern w:val="0"/>
                <w:sz w:val="24"/>
                <w:szCs w:val="24"/>
                <w:lang w:val="ru-RU" w:eastAsia="en-US" w:bidi="ar-SA"/>
              </w:rPr>
            </w:pPr>
            <w:r>
              <w:rPr>
                <w:rFonts w:eastAsia="Tahoma" w:cs="Noto Sans Devanagari" w:ascii="Times New Roman" w:hAnsi="Times New Roman"/>
                <w:color w:val="000000"/>
                <w:kern w:val="0"/>
                <w:sz w:val="24"/>
                <w:szCs w:val="24"/>
                <w:lang w:val="ru-RU" w:eastAsia="en-US" w:bidi="ar-SA"/>
              </w:rPr>
              <w:t>Жительница Урмарского МО</w:t>
            </w:r>
          </w:p>
        </w:tc>
        <w:tc>
          <w:tcPr>
            <w:tcW w:w="737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tabs>
                <w:tab w:val="clear" w:pos="708"/>
                <w:tab w:val="left" w:pos="565" w:leader="none"/>
                <w:tab w:val="left" w:pos="4400" w:leader="none"/>
              </w:tabs>
              <w:spacing w:lineRule="auto" w:line="240" w:before="0" w:after="0"/>
              <w:ind w:firstLine="283" w:left="0" w:right="0"/>
              <w:contextualSpacing/>
              <w:jc w:val="both"/>
              <w:rPr/>
            </w:pPr>
            <w:hyperlink r:id="rId4">
              <w:r>
                <w:rPr>
                  <w:rStyle w:val="Hyperlink"/>
                  <w:rFonts w:eastAsia="Tahoma" w:cs="Noto Sans Devanagari" w:ascii="Times New Roman" w:hAnsi="Times New Roman"/>
                  <w:b/>
                  <w:bCs/>
                  <w:color w:val="000000"/>
                  <w:kern w:val="0"/>
                  <w:sz w:val="24"/>
                  <w:szCs w:val="24"/>
                  <w:u w:val="none"/>
                  <w:lang w:val="ru-RU" w:eastAsia="en-US" w:bidi="ar-SA"/>
                </w:rPr>
                <w:t>Минкультуры Чувашии</w:t>
              </w:r>
            </w:hyperlink>
            <w:r>
              <w:rPr>
                <w:rStyle w:val="Hyperlink"/>
                <w:rFonts w:eastAsia="Tahoma" w:cs="Noto Sans Devanagari" w:ascii="Times New Roman" w:hAnsi="Times New Roman"/>
                <w:color w:val="000000"/>
                <w:kern w:val="0"/>
                <w:sz w:val="24"/>
                <w:szCs w:val="24"/>
                <w:u w:val="none"/>
                <w:lang w:val="ru-RU" w:eastAsia="en-US" w:bidi="ar-SA"/>
              </w:rPr>
              <w:t xml:space="preserve"> сообщает следующее.</w:t>
            </w:r>
          </w:p>
          <w:p>
            <w:pPr>
              <w:pStyle w:val="Normal"/>
              <w:tabs>
                <w:tab w:val="clear" w:pos="708"/>
                <w:tab w:val="left" w:pos="565" w:leader="none"/>
                <w:tab w:val="left" w:pos="4400" w:leader="none"/>
              </w:tabs>
              <w:spacing w:lineRule="auto" w:line="240" w:before="0" w:after="0"/>
              <w:ind w:firstLine="283" w:left="0" w:right="0"/>
              <w:contextualSpacing/>
              <w:jc w:val="both"/>
              <w:rPr/>
            </w:pPr>
            <w:r>
              <w:rPr>
                <w:rStyle w:val="Hyperlink"/>
                <w:rFonts w:eastAsia="Tahoma" w:cs="Noto Sans Devanagari" w:ascii="Times New Roman" w:hAnsi="Times New Roman"/>
                <w:color w:val="000000"/>
                <w:kern w:val="0"/>
                <w:sz w:val="24"/>
                <w:szCs w:val="24"/>
                <w:u w:val="none"/>
                <w:lang w:val="ru-RU" w:eastAsia="en-US" w:bidi="ar-SA"/>
              </w:rPr>
              <w:t>По информации администрации Урмарского муниципального округа в здании Ковалинского СДК размещаются Ковалинский краеведческий музей и Ковалинская сельская библиотека.</w:t>
            </w:r>
          </w:p>
          <w:p>
            <w:pPr>
              <w:pStyle w:val="Normal"/>
              <w:tabs>
                <w:tab w:val="clear" w:pos="708"/>
                <w:tab w:val="left" w:pos="565" w:leader="none"/>
                <w:tab w:val="left" w:pos="4400" w:leader="none"/>
              </w:tabs>
              <w:spacing w:lineRule="auto" w:line="240" w:before="0" w:after="0"/>
              <w:ind w:firstLine="283" w:left="0" w:right="0"/>
              <w:contextualSpacing/>
              <w:jc w:val="both"/>
              <w:rPr/>
            </w:pPr>
            <w:r>
              <w:rPr>
                <w:rStyle w:val="Hyperlink"/>
                <w:rFonts w:eastAsia="Tahoma" w:cs="Noto Sans Devanagari" w:ascii="Times New Roman" w:hAnsi="Times New Roman"/>
                <w:color w:val="000000"/>
                <w:kern w:val="0"/>
                <w:sz w:val="24"/>
                <w:szCs w:val="24"/>
                <w:u w:val="none"/>
                <w:lang w:val="ru-RU" w:eastAsia="en-US" w:bidi="ar-SA"/>
              </w:rPr>
              <w:t>В 2024 году на капитальный ремонт Ковалинского СДК из республиканского бюджета Чувашской Республики были выделены средства в размере 35 млн. руб. В последующем завершение ремонтных работ во всем здании планируется за счет средств местного бюджета.</w:t>
            </w:r>
          </w:p>
          <w:p>
            <w:pPr>
              <w:pStyle w:val="Normal"/>
              <w:tabs>
                <w:tab w:val="clear" w:pos="708"/>
                <w:tab w:val="left" w:pos="565" w:leader="none"/>
                <w:tab w:val="left" w:pos="4400" w:leader="none"/>
              </w:tabs>
              <w:spacing w:lineRule="auto" w:line="240" w:before="0" w:after="0"/>
              <w:ind w:firstLine="283" w:left="0" w:right="0"/>
              <w:contextualSpacing/>
              <w:jc w:val="both"/>
              <w:rPr/>
            </w:pPr>
            <w:r>
              <w:rPr>
                <w:rStyle w:val="Hyperlink"/>
                <w:rFonts w:eastAsia="Tahoma" w:cs="Noto Sans Devanagari" w:ascii="Times New Roman" w:hAnsi="Times New Roman"/>
                <w:color w:val="000000"/>
                <w:kern w:val="0"/>
                <w:sz w:val="24"/>
                <w:szCs w:val="24"/>
                <w:u w:val="none"/>
                <w:lang w:val="ru-RU" w:eastAsia="en-US" w:bidi="ar-SA"/>
              </w:rPr>
              <w:t>При этом сообщаем, что в рамках национального проекта «Семья» предусмотрено мероприятие «Модернизация региональных и муниципальных библиотек». Для получения финансирования по данному направлению необходимо наличие проектно-сметной документации и положительного заключения государственной экспертизы сметной стоимости.</w:t>
            </w:r>
          </w:p>
        </w:tc>
      </w:tr>
      <w:tr>
        <w:trPr>
          <w:trHeight w:val="864" w:hRule="atLeast"/>
        </w:trPr>
        <w:tc>
          <w:tcPr>
            <w:tcW w:w="7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numPr>
                <w:ilvl w:val="0"/>
                <w:numId w:val="1"/>
              </w:numPr>
              <w:tabs>
                <w:tab w:val="clear" w:pos="708"/>
                <w:tab w:val="left" w:pos="9253" w:leader="none"/>
              </w:tabs>
              <w:spacing w:lineRule="auto" w:line="240" w:before="0" w:after="0"/>
              <w:ind w:hanging="0" w:left="0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</w:r>
          </w:p>
        </w:tc>
        <w:tc>
          <w:tcPr>
            <w:tcW w:w="4296" w:type="dxa"/>
            <w:tcBorders>
              <w:left w:val="single" w:sz="4" w:space="0" w:color="000000"/>
              <w:bottom w:val="single" w:sz="4" w:space="0" w:color="000000"/>
            </w:tcBorders>
          </w:tcPr>
          <w:p>
            <w:pPr>
              <w:pStyle w:val="Normal"/>
              <w:tabs>
                <w:tab w:val="clear" w:pos="708"/>
                <w:tab w:val="left" w:pos="4400" w:leader="none"/>
              </w:tabs>
              <w:spacing w:lineRule="auto" w:line="240" w:before="0" w:after="0"/>
              <w:ind w:hanging="0" w:left="0" w:right="0"/>
              <w:contextualSpacing/>
              <w:jc w:val="both"/>
              <w:rPr>
                <w:rFonts w:ascii="Times New Roman" w:hAnsi="Times New Roman" w:eastAsia="Tahoma" w:cs="Noto Sans Devanagari"/>
                <w:color w:val="000000"/>
                <w:kern w:val="0"/>
                <w:sz w:val="24"/>
                <w:szCs w:val="24"/>
                <w:lang w:val="ru-RU" w:eastAsia="en-US" w:bidi="ar-SA"/>
              </w:rPr>
            </w:pPr>
            <w:r>
              <w:rPr>
                <w:rFonts w:eastAsia="Tahoma" w:cs="Noto Sans Devanagari" w:ascii="Times New Roman" w:hAnsi="Times New Roman"/>
                <w:color w:val="000000"/>
                <w:kern w:val="0"/>
                <w:sz w:val="24"/>
                <w:szCs w:val="24"/>
                <w:lang w:val="ru-RU" w:eastAsia="en-US" w:bidi="ar-SA"/>
              </w:rPr>
              <w:t>Уже год, как убрали маршрут между Цивильском и Новочебоксарском, из-за чего нет возможности жителям Булдеевского и Таушкасинского ТО добираться до Цивиильска из деревень, приходится нанимать такси. Просим помочь.</w:t>
            </w:r>
          </w:p>
        </w:tc>
        <w:tc>
          <w:tcPr>
            <w:tcW w:w="2488" w:type="dxa"/>
            <w:tcBorders>
              <w:left w:val="single" w:sz="4" w:space="0" w:color="000000"/>
              <w:bottom w:val="single" w:sz="4" w:space="0" w:color="000000"/>
            </w:tcBorders>
          </w:tcPr>
          <w:p>
            <w:pPr>
              <w:pStyle w:val="Normal"/>
              <w:tabs>
                <w:tab w:val="clear" w:pos="708"/>
                <w:tab w:val="left" w:pos="4400" w:leader="none"/>
              </w:tabs>
              <w:spacing w:lineRule="auto" w:line="240" w:before="0" w:after="0"/>
              <w:ind w:hanging="0" w:left="0" w:right="0"/>
              <w:contextualSpacing/>
              <w:jc w:val="left"/>
              <w:rPr/>
            </w:pPr>
            <w:r>
              <w:rPr>
                <w:rFonts w:eastAsia="Tahoma" w:cs="Noto Sans Devanagari" w:ascii="Times New Roman" w:hAnsi="Times New Roman"/>
                <w:color w:val="000000"/>
                <w:kern w:val="0"/>
                <w:sz w:val="24"/>
                <w:szCs w:val="24"/>
                <w:lang w:val="ru-RU" w:eastAsia="en-US" w:bidi="ar-SA"/>
              </w:rPr>
              <w:t>житель Цивильского МО</w:t>
            </w:r>
          </w:p>
        </w:tc>
        <w:tc>
          <w:tcPr>
            <w:tcW w:w="737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tabs>
                <w:tab w:val="clear" w:pos="708"/>
                <w:tab w:val="left" w:pos="565" w:leader="none"/>
                <w:tab w:val="left" w:pos="4400" w:leader="none"/>
              </w:tabs>
              <w:spacing w:lineRule="auto" w:line="240" w:before="0" w:after="0"/>
              <w:ind w:firstLine="283" w:left="0" w:right="0"/>
              <w:contextualSpacing/>
              <w:jc w:val="both"/>
              <w:rPr/>
            </w:pPr>
            <w:r>
              <w:rPr>
                <w:rFonts w:eastAsia="Tahoma" w:cs="Noto Sans Devanagari" w:ascii="Times New Roman" w:hAnsi="Times New Roman"/>
                <w:b/>
                <w:bCs/>
                <w:color w:val="000000"/>
                <w:kern w:val="0"/>
                <w:sz w:val="24"/>
                <w:szCs w:val="24"/>
                <w:lang w:val="ru-RU" w:eastAsia="en-US" w:bidi="ar-SA"/>
              </w:rPr>
              <w:t>Минтранс Чувашии</w:t>
            </w:r>
            <w:r>
              <w:rPr>
                <w:rFonts w:eastAsia="Tahoma" w:cs="Noto Sans Devanagari" w:ascii="Times New Roman" w:hAnsi="Times New Roman"/>
                <w:color w:val="000000"/>
                <w:kern w:val="0"/>
                <w:sz w:val="24"/>
                <w:szCs w:val="24"/>
                <w:lang w:val="ru-RU" w:eastAsia="en-US" w:bidi="ar-SA"/>
              </w:rPr>
              <w:t xml:space="preserve"> сообщает следующее.</w:t>
            </w:r>
          </w:p>
          <w:p>
            <w:pPr>
              <w:pStyle w:val="Normal"/>
              <w:tabs>
                <w:tab w:val="clear" w:pos="708"/>
                <w:tab w:val="left" w:pos="565" w:leader="none"/>
                <w:tab w:val="left" w:pos="4400" w:leader="none"/>
              </w:tabs>
              <w:spacing w:lineRule="auto" w:line="240" w:before="0" w:after="0"/>
              <w:ind w:firstLine="283" w:left="0" w:right="0"/>
              <w:contextualSpacing/>
              <w:jc w:val="both"/>
              <w:rPr/>
            </w:pPr>
            <w:r>
              <w:rPr>
                <w:rFonts w:eastAsia="Tahoma" w:cs="Noto Sans Devanagari" w:ascii="Times New Roman" w:hAnsi="Times New Roman"/>
                <w:color w:val="000000"/>
                <w:kern w:val="0"/>
                <w:sz w:val="24"/>
                <w:szCs w:val="24"/>
                <w:lang w:val="ru-RU" w:eastAsia="en-US" w:bidi="ar-SA"/>
              </w:rPr>
              <w:t>Населенные пункты Булдеево и Таушкасы относятся к населенным пунктам Цивильского муниципального округа. В соответствии с Федеральным законом от 6 октября 2003 г. № 131-ФЗ «Об общих принципах организации местного самоуправления в Российской Федерации» вопросы создания условий для предоставления транспортных услуг населению и организация транспортного обслуживания населения в границах муниципального округа относятся к вопросам местного значения муниципального округа. В соответствии со ст. 2 вышеуказанного Федерального закона решение вопросов местного значения осуществляется органами местного самоуправления самостоятельно.</w:t>
            </w:r>
          </w:p>
          <w:p>
            <w:pPr>
              <w:pStyle w:val="Normal"/>
              <w:tabs>
                <w:tab w:val="clear" w:pos="708"/>
                <w:tab w:val="left" w:pos="565" w:leader="none"/>
                <w:tab w:val="left" w:pos="4400" w:leader="none"/>
              </w:tabs>
              <w:spacing w:lineRule="auto" w:line="240" w:before="0" w:after="0"/>
              <w:ind w:firstLine="283" w:left="0" w:right="0"/>
              <w:contextualSpacing/>
              <w:jc w:val="both"/>
              <w:rPr/>
            </w:pPr>
            <w:r>
              <w:rPr>
                <w:rFonts w:eastAsia="Tahoma" w:cs="Noto Sans Devanagari" w:ascii="Times New Roman" w:hAnsi="Times New Roman"/>
                <w:color w:val="000000"/>
                <w:kern w:val="0"/>
                <w:sz w:val="24"/>
                <w:szCs w:val="24"/>
                <w:lang w:val="ru-RU" w:eastAsia="en-US" w:bidi="ar-SA"/>
              </w:rPr>
              <w:t>Между тем, от населенных пунктов Булдеево и Таушкасы до Цивильска обеспечено транспортное сообщение межмуниципальным маршрутом регулярных перевозок № 217 «Чебоксары (ДКП (пер. Бабушкина, д. 8а г. Чебоксары) – Вурумсют». Транспортное сообщение между населенным пунктом Таушкасы и г. Цивильск обеспечено также межмуниципальным маршрутом регулярных перевозок № 137 «Чебоксары (ДКП (пер. Бабушкина, д. 8а г. Чебоксары) – Цивильск – Конары».</w:t>
            </w:r>
          </w:p>
          <w:p>
            <w:pPr>
              <w:pStyle w:val="Normal"/>
              <w:tabs>
                <w:tab w:val="clear" w:pos="708"/>
                <w:tab w:val="left" w:pos="565" w:leader="none"/>
                <w:tab w:val="left" w:pos="4400" w:leader="none"/>
              </w:tabs>
              <w:spacing w:lineRule="auto" w:line="240" w:before="0" w:after="0"/>
              <w:ind w:firstLine="283" w:left="0" w:right="0"/>
              <w:contextualSpacing/>
              <w:jc w:val="both"/>
              <w:rPr/>
            </w:pPr>
            <w:r>
              <w:rPr>
                <w:rFonts w:eastAsia="Tahoma" w:cs="Noto Sans Devanagari" w:ascii="Times New Roman" w:hAnsi="Times New Roman"/>
                <w:color w:val="000000"/>
                <w:kern w:val="0"/>
                <w:sz w:val="24"/>
                <w:szCs w:val="24"/>
                <w:lang w:val="ru-RU" w:eastAsia="en-US" w:bidi="ar-SA"/>
              </w:rPr>
              <w:t>Кроме того, Минтрансом Чувашии разработан проект постановления Кабинета Министров Чувашской Республики «Об утверждении Регионального комплексного плана транспортного обслуживания населения», которым предусматривается перевод на регулируемый тариф в настоящее время не обслуживаемого межмуниципального маршрута регулярных перевозок № 134 «Цивильск (ДКП г. Цивильск) – Новочебоксарск (ДКП г. Новочебоксарск)», который также проходит мимо населенных пунктов Булдеево и Таушкасы. Перевод маршрута на регулируемый тариф должен обеспечить привлечение перевозчика для осуществления перевозок по маршруту и улучшить транспортное сообщение между Цивильском, Таушкасами и Булдеево. В настоящее время разработанный Минтрансом Чувашии проект постановления находится на согласовании в заинтересованных органах.</w:t>
            </w:r>
          </w:p>
        </w:tc>
      </w:tr>
      <w:tr>
        <w:trPr>
          <w:trHeight w:val="864" w:hRule="atLeast"/>
        </w:trPr>
        <w:tc>
          <w:tcPr>
            <w:tcW w:w="7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numPr>
                <w:ilvl w:val="0"/>
                <w:numId w:val="1"/>
              </w:numPr>
              <w:tabs>
                <w:tab w:val="clear" w:pos="708"/>
                <w:tab w:val="left" w:pos="9253" w:leader="none"/>
              </w:tabs>
              <w:spacing w:lineRule="auto" w:line="240" w:before="0" w:after="0"/>
              <w:ind w:hanging="0" w:left="0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</w:r>
          </w:p>
        </w:tc>
        <w:tc>
          <w:tcPr>
            <w:tcW w:w="4296" w:type="dxa"/>
            <w:tcBorders>
              <w:left w:val="single" w:sz="4" w:space="0" w:color="000000"/>
              <w:bottom w:val="single" w:sz="4" w:space="0" w:color="000000"/>
            </w:tcBorders>
          </w:tcPr>
          <w:p>
            <w:pPr>
              <w:pStyle w:val="Normal"/>
              <w:tabs>
                <w:tab w:val="clear" w:pos="708"/>
                <w:tab w:val="left" w:pos="4400" w:leader="none"/>
              </w:tabs>
              <w:spacing w:lineRule="auto" w:line="240" w:before="0" w:after="0"/>
              <w:ind w:hanging="0" w:left="0" w:right="0"/>
              <w:contextualSpacing/>
              <w:rPr>
                <w:rFonts w:ascii="Times New Roman" w:hAnsi="Times New Roman" w:eastAsia="Tahoma" w:cs="Noto Sans Devanagari"/>
                <w:color w:val="000000"/>
                <w:kern w:val="0"/>
                <w:sz w:val="24"/>
                <w:szCs w:val="24"/>
                <w:lang w:val="ru-RU" w:eastAsia="en-US" w:bidi="ar-SA"/>
              </w:rPr>
            </w:pPr>
            <w:r>
              <w:rPr>
                <w:rFonts w:eastAsia="Tahoma" w:cs="Noto Sans Devanagari" w:ascii="Times New Roman" w:hAnsi="Times New Roman"/>
                <w:color w:val="000000"/>
                <w:kern w:val="0"/>
                <w:sz w:val="24"/>
                <w:szCs w:val="24"/>
                <w:lang w:val="ru-RU" w:eastAsia="en-US" w:bidi="ar-SA"/>
              </w:rPr>
              <w:t>Очень завышены тарифы на ЖКУ. Просим помочь.</w:t>
            </w:r>
          </w:p>
        </w:tc>
        <w:tc>
          <w:tcPr>
            <w:tcW w:w="2488" w:type="dxa"/>
            <w:tcBorders>
              <w:left w:val="single" w:sz="4" w:space="0" w:color="000000"/>
              <w:bottom w:val="single" w:sz="4" w:space="0" w:color="000000"/>
            </w:tcBorders>
          </w:tcPr>
          <w:p>
            <w:pPr>
              <w:pStyle w:val="Normal"/>
              <w:tabs>
                <w:tab w:val="clear" w:pos="708"/>
                <w:tab w:val="left" w:pos="4400" w:leader="none"/>
              </w:tabs>
              <w:spacing w:lineRule="auto" w:line="240" w:before="0" w:after="0"/>
              <w:ind w:hanging="0" w:left="0" w:right="0"/>
              <w:contextualSpacing/>
              <w:jc w:val="left"/>
              <w:rPr>
                <w:rFonts w:ascii="Times New Roman" w:hAnsi="Times New Roman" w:eastAsia="Tahoma" w:cs="Noto Sans Devanagari"/>
                <w:color w:val="000000"/>
                <w:kern w:val="0"/>
                <w:sz w:val="24"/>
                <w:szCs w:val="24"/>
                <w:lang w:val="ru-RU" w:eastAsia="en-US" w:bidi="ar-SA"/>
              </w:rPr>
            </w:pPr>
            <w:r>
              <w:rPr>
                <w:rFonts w:eastAsia="Tahoma" w:cs="Noto Sans Devanagari" w:ascii="Times New Roman" w:hAnsi="Times New Roman"/>
                <w:color w:val="000000"/>
                <w:kern w:val="0"/>
                <w:sz w:val="24"/>
                <w:szCs w:val="24"/>
                <w:lang w:val="ru-RU" w:eastAsia="en-US" w:bidi="ar-SA"/>
              </w:rPr>
              <w:t>жительница Цивильского МО</w:t>
            </w:r>
          </w:p>
        </w:tc>
        <w:tc>
          <w:tcPr>
            <w:tcW w:w="737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tabs>
                <w:tab w:val="clear" w:pos="708"/>
                <w:tab w:val="left" w:pos="565" w:leader="none"/>
                <w:tab w:val="left" w:pos="4400" w:leader="none"/>
              </w:tabs>
              <w:spacing w:lineRule="auto" w:line="240" w:before="0" w:after="0"/>
              <w:ind w:firstLine="283" w:left="0" w:right="0"/>
              <w:contextualSpacing/>
              <w:jc w:val="both"/>
              <w:rPr/>
            </w:pPr>
            <w:r>
              <w:rPr>
                <w:rFonts w:eastAsia="Tahoma" w:cs="Noto Sans Devanagari" w:ascii="Times New Roman" w:hAnsi="Times New Roman"/>
                <w:b/>
                <w:bCs/>
                <w:color w:val="000000"/>
                <w:kern w:val="0"/>
                <w:sz w:val="24"/>
                <w:szCs w:val="24"/>
                <w:lang w:val="ru-RU" w:eastAsia="en-US" w:bidi="ar-SA"/>
              </w:rPr>
              <w:t>Госслужба Чувашии по конкурентной политике и тарифам</w:t>
            </w:r>
            <w:r>
              <w:rPr>
                <w:rFonts w:eastAsia="Tahoma" w:cs="Noto Sans Devanagari" w:ascii="Times New Roman" w:hAnsi="Times New Roman"/>
                <w:color w:val="000000"/>
                <w:kern w:val="0"/>
                <w:sz w:val="24"/>
                <w:szCs w:val="24"/>
                <w:lang w:val="ru-RU" w:eastAsia="en-US" w:bidi="ar-SA"/>
              </w:rPr>
              <w:t xml:space="preserve"> сообщает следующее.</w:t>
            </w:r>
          </w:p>
          <w:p>
            <w:pPr>
              <w:pStyle w:val="Normal"/>
              <w:tabs>
                <w:tab w:val="clear" w:pos="708"/>
                <w:tab w:val="left" w:pos="565" w:leader="none"/>
                <w:tab w:val="left" w:pos="4400" w:leader="none"/>
              </w:tabs>
              <w:spacing w:lineRule="auto" w:line="240" w:before="0" w:after="0"/>
              <w:ind w:firstLine="283" w:left="0" w:right="0"/>
              <w:contextualSpacing/>
              <w:jc w:val="both"/>
              <w:rPr/>
            </w:pPr>
            <w:r>
              <w:rPr>
                <w:rFonts w:eastAsia="Tahoma" w:cs="Noto Sans Devanagari" w:ascii="Times New Roman" w:hAnsi="Times New Roman"/>
                <w:color w:val="000000"/>
                <w:kern w:val="0"/>
                <w:sz w:val="24"/>
                <w:szCs w:val="24"/>
                <w:lang w:val="ru-RU" w:eastAsia="en-US" w:bidi="ar-SA"/>
              </w:rPr>
              <w:t>Услуги, по которым выставляются счета, делятся на жилищные и коммунальные.</w:t>
            </w:r>
          </w:p>
          <w:p>
            <w:pPr>
              <w:pStyle w:val="Normal"/>
              <w:tabs>
                <w:tab w:val="clear" w:pos="708"/>
                <w:tab w:val="left" w:pos="565" w:leader="none"/>
                <w:tab w:val="left" w:pos="4400" w:leader="none"/>
              </w:tabs>
              <w:spacing w:lineRule="auto" w:line="240" w:before="0" w:after="0"/>
              <w:ind w:firstLine="283" w:left="0" w:right="0"/>
              <w:contextualSpacing/>
              <w:jc w:val="both"/>
              <w:rPr/>
            </w:pPr>
            <w:r>
              <w:rPr>
                <w:rFonts w:eastAsia="Tahoma" w:cs="Noto Sans Devanagari" w:ascii="Times New Roman" w:hAnsi="Times New Roman"/>
                <w:color w:val="000000"/>
                <w:kern w:val="0"/>
                <w:sz w:val="24"/>
                <w:szCs w:val="24"/>
                <w:lang w:val="ru-RU" w:eastAsia="en-US" w:bidi="ar-SA"/>
              </w:rPr>
              <w:t>К жилищным услугам относятся содержание и текущий ремонт общего имущества в многоквартирных домах (МКД). Плата за данную услугу не подлежит государственному регулированию. Она устанавливается общим собранием собственников помещений в МКД, органами управления ТСЖ или жилищными кооперативами либо органами местного самоуправления. Также к жилищным услугам относятся взносы на капитальный ремонт общего имущества, минимальный размер которого устанавливает Кабинет Министров Чувашской Республики.</w:t>
            </w:r>
          </w:p>
          <w:p>
            <w:pPr>
              <w:pStyle w:val="Normal"/>
              <w:tabs>
                <w:tab w:val="clear" w:pos="708"/>
                <w:tab w:val="left" w:pos="565" w:leader="none"/>
                <w:tab w:val="left" w:pos="4400" w:leader="none"/>
              </w:tabs>
              <w:spacing w:lineRule="auto" w:line="240" w:before="0" w:after="0"/>
              <w:ind w:firstLine="283" w:left="0" w:right="0"/>
              <w:contextualSpacing/>
              <w:jc w:val="both"/>
              <w:rPr/>
            </w:pPr>
            <w:r>
              <w:rPr>
                <w:rFonts w:eastAsia="Tahoma" w:cs="Noto Sans Devanagari" w:ascii="Times New Roman" w:hAnsi="Times New Roman"/>
                <w:color w:val="000000"/>
                <w:kern w:val="0"/>
                <w:sz w:val="24"/>
                <w:szCs w:val="24"/>
                <w:lang w:val="ru-RU" w:eastAsia="en-US" w:bidi="ar-SA"/>
              </w:rPr>
              <w:t>К коммунальным услугам относятся холодное и горячее водоснабжение, водоотведение, отопление, газоснабжение, электроснабжение, а также услуга по обращению с твердыми коммунальными отходами. Тарифы на все эти услуги устанавливаются и контролируются Госслужбой.</w:t>
            </w:r>
          </w:p>
          <w:p>
            <w:pPr>
              <w:pStyle w:val="Normal"/>
              <w:tabs>
                <w:tab w:val="clear" w:pos="708"/>
                <w:tab w:val="left" w:pos="565" w:leader="none"/>
                <w:tab w:val="left" w:pos="4400" w:leader="none"/>
              </w:tabs>
              <w:spacing w:lineRule="auto" w:line="240" w:before="0" w:after="0"/>
              <w:ind w:firstLine="283" w:left="0" w:right="0"/>
              <w:contextualSpacing/>
              <w:jc w:val="both"/>
              <w:rPr/>
            </w:pPr>
            <w:r>
              <w:rPr>
                <w:rFonts w:eastAsia="Tahoma" w:cs="Noto Sans Devanagari" w:ascii="Times New Roman" w:hAnsi="Times New Roman"/>
                <w:color w:val="000000"/>
                <w:kern w:val="0"/>
                <w:sz w:val="24"/>
                <w:szCs w:val="24"/>
                <w:lang w:val="ru-RU" w:eastAsia="en-US" w:bidi="ar-SA"/>
              </w:rPr>
              <w:t>Регулирование тарифов осуществляется на основании действующего законодательства Российской Федерации. Индексация тарифов связана с необходимостью обеспечения бесперебойной работы и развития инфраструктуры ЖКХ, сохранения возможности предоставлять качественные жилищно-коммунальные услуги для населения путем обновления теплотрасс, водопроводов и других объектов коммунальной инфраструктуры.</w:t>
            </w:r>
          </w:p>
          <w:p>
            <w:pPr>
              <w:pStyle w:val="Normal"/>
              <w:tabs>
                <w:tab w:val="clear" w:pos="708"/>
                <w:tab w:val="left" w:pos="565" w:leader="none"/>
                <w:tab w:val="left" w:pos="4400" w:leader="none"/>
              </w:tabs>
              <w:spacing w:lineRule="auto" w:line="240" w:before="0" w:after="0"/>
              <w:ind w:firstLine="283" w:left="0" w:right="0"/>
              <w:contextualSpacing/>
              <w:jc w:val="both"/>
              <w:rPr/>
            </w:pPr>
            <w:r>
              <w:rPr>
                <w:rFonts w:eastAsia="Tahoma" w:cs="Noto Sans Devanagari" w:ascii="Times New Roman" w:hAnsi="Times New Roman"/>
                <w:color w:val="000000"/>
                <w:kern w:val="0"/>
                <w:sz w:val="24"/>
                <w:szCs w:val="24"/>
                <w:lang w:val="ru-RU" w:eastAsia="en-US" w:bidi="ar-SA"/>
              </w:rPr>
              <w:t>Индексация происходит раз в год с 1 июля. В 1 полугодии тарифы на коммунальные услуги не увеличатся, а с 1 июля 2025 г. произойдет плановое изменение тарифов в пределах ограничений, доведенных Правительством России. Рост совокупного размера платы граждан за коммунальные услуги по Цивильскому муниципальному округу ограничен индексом 10,7%. При этом на размер платы за коммунальные услуги влияет не только тариф, но и объем потребляемых услуг.</w:t>
            </w:r>
          </w:p>
          <w:p>
            <w:pPr>
              <w:pStyle w:val="Normal"/>
              <w:tabs>
                <w:tab w:val="clear" w:pos="708"/>
                <w:tab w:val="left" w:pos="565" w:leader="none"/>
                <w:tab w:val="left" w:pos="4400" w:leader="none"/>
              </w:tabs>
              <w:spacing w:lineRule="auto" w:line="240" w:before="0" w:after="0"/>
              <w:ind w:firstLine="283" w:left="0" w:right="0"/>
              <w:contextualSpacing/>
              <w:jc w:val="both"/>
              <w:rPr/>
            </w:pPr>
            <w:r>
              <w:rPr>
                <w:rFonts w:eastAsia="Tahoma" w:cs="Noto Sans Devanagari" w:ascii="Times New Roman" w:hAnsi="Times New Roman"/>
                <w:color w:val="000000"/>
                <w:kern w:val="0"/>
                <w:sz w:val="24"/>
                <w:szCs w:val="24"/>
                <w:lang w:val="ru-RU" w:eastAsia="en-US" w:bidi="ar-SA"/>
              </w:rPr>
              <w:t>Также сообщаем, что в целях социальной поддержки населения предусмотрена возможность получения субсидии на оплату коммунальных услуг. Для этого необходимо обратиться в органы социальной защиты по месту жительства.</w:t>
            </w:r>
          </w:p>
          <w:p>
            <w:pPr>
              <w:pStyle w:val="Normal"/>
              <w:tabs>
                <w:tab w:val="clear" w:pos="708"/>
                <w:tab w:val="left" w:pos="565" w:leader="none"/>
                <w:tab w:val="left" w:pos="4400" w:leader="none"/>
              </w:tabs>
              <w:spacing w:lineRule="auto" w:line="240" w:before="0" w:after="0"/>
              <w:ind w:firstLine="283" w:left="0" w:right="0"/>
              <w:contextualSpacing/>
              <w:jc w:val="both"/>
              <w:rPr/>
            </w:pPr>
            <w:r>
              <w:rPr>
                <w:rFonts w:eastAsia="Tahoma" w:cs="Noto Sans Devanagari" w:ascii="Times New Roman" w:hAnsi="Times New Roman"/>
                <w:color w:val="000000"/>
                <w:kern w:val="0"/>
                <w:sz w:val="24"/>
                <w:szCs w:val="24"/>
                <w:lang w:val="ru-RU" w:eastAsia="en-US" w:bidi="ar-SA"/>
              </w:rPr>
              <w:t>Необходимо отметить, что в Чувашской Республике установлены одни из самых низких тарифов на коммунальные услуги среди субъектов Приволжского федерального округа.</w:t>
            </w:r>
          </w:p>
        </w:tc>
      </w:tr>
      <w:tr>
        <w:trPr>
          <w:trHeight w:val="864" w:hRule="atLeast"/>
        </w:trPr>
        <w:tc>
          <w:tcPr>
            <w:tcW w:w="73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numPr>
                <w:ilvl w:val="0"/>
                <w:numId w:val="1"/>
              </w:numPr>
              <w:tabs>
                <w:tab w:val="clear" w:pos="708"/>
                <w:tab w:val="left" w:pos="9253" w:leader="none"/>
              </w:tabs>
              <w:spacing w:lineRule="auto" w:line="240" w:before="0" w:after="0"/>
              <w:ind w:hanging="0" w:left="0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</w:r>
          </w:p>
        </w:tc>
        <w:tc>
          <w:tcPr>
            <w:tcW w:w="42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>
            <w:pPr>
              <w:pStyle w:val="Normal"/>
              <w:numPr>
                <w:ilvl w:val="0"/>
                <w:numId w:val="0"/>
              </w:numPr>
              <w:tabs>
                <w:tab w:val="clear" w:pos="708"/>
                <w:tab w:val="left" w:pos="4400" w:leader="none"/>
              </w:tabs>
              <w:spacing w:lineRule="auto" w:line="240" w:before="0" w:after="0"/>
              <w:ind w:hanging="0" w:left="0" w:right="0"/>
              <w:contextualSpacing/>
              <w:jc w:val="both"/>
              <w:rPr>
                <w:rFonts w:ascii="Times New Roman" w:hAnsi="Times New Roman" w:eastAsia="Tahoma" w:cs="Noto Sans Devanagari"/>
                <w:color w:val="000000"/>
                <w:kern w:val="0"/>
                <w:sz w:val="24"/>
                <w:szCs w:val="24"/>
                <w:lang w:val="ru-RU" w:eastAsia="en-US" w:bidi="ar-SA"/>
              </w:rPr>
            </w:pPr>
            <w:r>
              <w:rPr>
                <w:rFonts w:eastAsia="Tahoma" w:cs="Noto Sans Devanagari" w:ascii="Times New Roman" w:hAnsi="Times New Roman"/>
                <w:color w:val="000000"/>
                <w:kern w:val="0"/>
                <w:sz w:val="24"/>
                <w:szCs w:val="24"/>
                <w:lang w:val="ru-RU" w:eastAsia="en-US" w:bidi="ar-SA"/>
              </w:rPr>
              <w:t>Отсутствует специалист врач-дерматолог в Алатырском муниципальном округе. Просим помочь.</w:t>
            </w:r>
          </w:p>
        </w:tc>
        <w:tc>
          <w:tcPr>
            <w:tcW w:w="24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>
            <w:pPr>
              <w:pStyle w:val="Normal"/>
              <w:tabs>
                <w:tab w:val="clear" w:pos="708"/>
                <w:tab w:val="left" w:pos="4400" w:leader="none"/>
              </w:tabs>
              <w:spacing w:lineRule="auto" w:line="240" w:before="0" w:after="0"/>
              <w:ind w:hanging="0" w:left="0" w:right="0"/>
              <w:contextualSpacing/>
              <w:jc w:val="left"/>
              <w:rPr>
                <w:rFonts w:ascii="Times New Roman" w:hAnsi="Times New Roman" w:eastAsia="Tahoma" w:cs="Noto Sans Devanagari"/>
                <w:color w:val="000000"/>
                <w:kern w:val="0"/>
                <w:sz w:val="24"/>
                <w:szCs w:val="24"/>
                <w:lang w:val="ru-RU" w:eastAsia="en-US" w:bidi="ar-SA"/>
              </w:rPr>
            </w:pPr>
            <w:r>
              <w:rPr>
                <w:rFonts w:eastAsia="Tahoma" w:cs="Noto Sans Devanagari" w:ascii="Times New Roman" w:hAnsi="Times New Roman"/>
                <w:color w:val="000000"/>
                <w:kern w:val="0"/>
                <w:sz w:val="24"/>
                <w:szCs w:val="24"/>
                <w:lang w:val="ru-RU" w:eastAsia="en-US" w:bidi="ar-SA"/>
              </w:rPr>
              <w:t>жительница Алатырского МО</w:t>
            </w:r>
          </w:p>
        </w:tc>
        <w:tc>
          <w:tcPr>
            <w:tcW w:w="73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tabs>
                <w:tab w:val="clear" w:pos="708"/>
                <w:tab w:val="left" w:pos="565" w:leader="none"/>
                <w:tab w:val="left" w:pos="4400" w:leader="none"/>
              </w:tabs>
              <w:spacing w:lineRule="auto" w:line="240" w:before="0" w:after="0"/>
              <w:ind w:firstLine="283" w:left="0" w:right="0"/>
              <w:contextualSpacing/>
              <w:jc w:val="left"/>
              <w:rPr/>
            </w:pPr>
            <w:r>
              <w:rPr>
                <w:rFonts w:eastAsia="Tahoma" w:cs="Noto Sans Devanagari" w:ascii="Times New Roman" w:hAnsi="Times New Roman"/>
                <w:b/>
                <w:bCs/>
                <w:color w:val="000000"/>
                <w:kern w:val="0"/>
                <w:sz w:val="24"/>
                <w:szCs w:val="24"/>
                <w:lang w:val="ru-RU" w:eastAsia="en-US" w:bidi="ar-SA"/>
              </w:rPr>
              <w:t>Минздрав Чувашии</w:t>
            </w:r>
            <w:r>
              <w:rPr>
                <w:rFonts w:eastAsia="Tahoma" w:cs="Noto Sans Devanagari" w:ascii="Times New Roman" w:hAnsi="Times New Roman"/>
                <w:color w:val="000000"/>
                <w:kern w:val="0"/>
                <w:sz w:val="24"/>
                <w:szCs w:val="24"/>
                <w:lang w:val="ru-RU" w:eastAsia="en-US" w:bidi="ar-SA"/>
              </w:rPr>
              <w:t xml:space="preserve"> сообщает следующее.</w:t>
            </w:r>
          </w:p>
          <w:p>
            <w:pPr>
              <w:pStyle w:val="Normal"/>
              <w:tabs>
                <w:tab w:val="clear" w:pos="708"/>
                <w:tab w:val="left" w:pos="565" w:leader="none"/>
                <w:tab w:val="left" w:pos="4400" w:leader="none"/>
              </w:tabs>
              <w:spacing w:lineRule="auto" w:line="240" w:before="0" w:after="0"/>
              <w:ind w:firstLine="283" w:left="0" w:right="0"/>
              <w:contextualSpacing/>
              <w:jc w:val="both"/>
              <w:rPr/>
            </w:pPr>
            <w:r>
              <w:rPr>
                <w:rFonts w:eastAsia="Tahoma" w:cs="Noto Sans Devanagari" w:ascii="Times New Roman" w:hAnsi="Times New Roman"/>
                <w:color w:val="000000"/>
                <w:kern w:val="0"/>
                <w:sz w:val="24"/>
                <w:szCs w:val="24"/>
                <w:lang w:val="ru-RU" w:eastAsia="en-US" w:bidi="ar-SA"/>
              </w:rPr>
              <w:t>Оказание медицинской помощи и маршрутизация по профилю «Дерматовенерология» населению Алатырского муниципального округа в настоящее время, до получения лицензии на медицинскую деятельность БУ «Центральная районная больница Алатырского района» Минздрава Чувашии, организованы следующим образом:</w:t>
            </w:r>
          </w:p>
          <w:p>
            <w:pPr>
              <w:pStyle w:val="Normal"/>
              <w:tabs>
                <w:tab w:val="clear" w:pos="708"/>
                <w:tab w:val="left" w:pos="565" w:leader="none"/>
                <w:tab w:val="left" w:pos="4400" w:leader="none"/>
              </w:tabs>
              <w:spacing w:lineRule="auto" w:line="240" w:before="0" w:after="0"/>
              <w:ind w:firstLine="283" w:left="0" w:right="0"/>
              <w:contextualSpacing/>
              <w:jc w:val="both"/>
              <w:rPr/>
            </w:pPr>
            <w:r>
              <w:rPr>
                <w:rFonts w:eastAsia="Tahoma" w:cs="Noto Sans Devanagari" w:ascii="Times New Roman" w:hAnsi="Times New Roman"/>
                <w:color w:val="000000"/>
                <w:kern w:val="0"/>
                <w:sz w:val="24"/>
                <w:szCs w:val="24"/>
                <w:lang w:val="ru-RU" w:eastAsia="en-US" w:bidi="ar-SA"/>
              </w:rPr>
              <w:t>Еженедельно с 5 марта 2025 г. по средам врач-дерматовенеролог структурного подразделения г. Шумерля БУ «Республиканский кожно-венерологический диспансер» Минздрава Чувашии с 11.00 до 14.00 ведет прием на базе поликлиники БУ «Центральная районная больница Алатырского района» Минздрава Чувашии для оказания первичной специализированной медико-санитарной помощи по профилю «Дерматовенерология» прикрепленному населению Алатырского муниципального округа. С 17 марта 2025 г. прием врачом-дерматовенерологом будет проводится 2 раза в неделю (по средам и четвергам).</w:t>
            </w:r>
          </w:p>
          <w:p>
            <w:pPr>
              <w:pStyle w:val="Normal"/>
              <w:tabs>
                <w:tab w:val="clear" w:pos="708"/>
                <w:tab w:val="left" w:pos="565" w:leader="none"/>
                <w:tab w:val="left" w:pos="4400" w:leader="none"/>
              </w:tabs>
              <w:spacing w:lineRule="auto" w:line="240" w:before="0" w:after="0"/>
              <w:ind w:firstLine="283" w:left="0" w:right="0"/>
              <w:contextualSpacing/>
              <w:jc w:val="both"/>
              <w:rPr/>
            </w:pPr>
            <w:r>
              <w:rPr>
                <w:rFonts w:eastAsia="Tahoma" w:cs="Noto Sans Devanagari" w:ascii="Times New Roman" w:hAnsi="Times New Roman"/>
                <w:color w:val="000000"/>
                <w:kern w:val="0"/>
                <w:sz w:val="24"/>
                <w:szCs w:val="24"/>
                <w:lang w:val="ru-RU" w:eastAsia="en-US" w:bidi="ar-SA"/>
              </w:rPr>
              <w:t>Пациенты, нуждающиеся в оказании специализированной медицинской помощи по профилю «Дерматовенерология», маршрутизируются в стационарные отделения БУ «Республиканский кожно-венерологический диспансер» Минздрава Чувашии (г. Шумерля).</w:t>
            </w:r>
          </w:p>
          <w:p>
            <w:pPr>
              <w:pStyle w:val="Normal"/>
              <w:tabs>
                <w:tab w:val="clear" w:pos="708"/>
                <w:tab w:val="left" w:pos="565" w:leader="none"/>
                <w:tab w:val="left" w:pos="4400" w:leader="none"/>
              </w:tabs>
              <w:spacing w:lineRule="auto" w:line="240" w:before="0" w:after="0"/>
              <w:ind w:firstLine="283" w:left="0" w:right="0"/>
              <w:contextualSpacing/>
              <w:jc w:val="both"/>
              <w:rPr/>
            </w:pPr>
            <w:r>
              <w:rPr>
                <w:rFonts w:eastAsia="Tahoma" w:cs="Noto Sans Devanagari" w:ascii="Times New Roman" w:hAnsi="Times New Roman"/>
                <w:color w:val="000000"/>
                <w:kern w:val="0"/>
                <w:sz w:val="24"/>
                <w:szCs w:val="24"/>
                <w:lang w:val="ru-RU" w:eastAsia="en-US" w:bidi="ar-SA"/>
              </w:rPr>
              <w:t>Имеется возможность консультирования пациентов, жителей Алатырского муниципального округа, нуждающихся в оказании первичной специализированной медико-санитарной помощи по профилю «Дерматовенерология», с использованием телемедицинских технологий (врач-врач) по запросу от врачей БУ «Центральная районная больница Алатырского района» Минздрава Чувашии в ежедневном режиме с 8 до 14.00 часов. Телемедицинские консультации (врач-врач) осуществляются специалистами структурного подразделения БУ «Республиканский кожно-венерологический диспансер» Минздрава Чувашии г. Чебоксары.</w:t>
            </w:r>
          </w:p>
        </w:tc>
      </w:tr>
      <w:tr>
        <w:trPr>
          <w:trHeight w:val="864" w:hRule="atLeast"/>
        </w:trPr>
        <w:tc>
          <w:tcPr>
            <w:tcW w:w="73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numPr>
                <w:ilvl w:val="0"/>
                <w:numId w:val="1"/>
              </w:numPr>
              <w:tabs>
                <w:tab w:val="clear" w:pos="708"/>
                <w:tab w:val="left" w:pos="9253" w:leader="none"/>
              </w:tabs>
              <w:spacing w:lineRule="auto" w:line="240" w:before="0" w:after="0"/>
              <w:ind w:hanging="0" w:left="0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</w:r>
          </w:p>
        </w:tc>
        <w:tc>
          <w:tcPr>
            <w:tcW w:w="4296" w:type="dxa"/>
            <w:tcBorders>
              <w:left w:val="single" w:sz="4" w:space="0" w:color="000000"/>
              <w:bottom w:val="single" w:sz="4" w:space="0" w:color="000000"/>
            </w:tcBorders>
          </w:tcPr>
          <w:p>
            <w:pPr>
              <w:pStyle w:val="Normal"/>
              <w:tabs>
                <w:tab w:val="clear" w:pos="708"/>
                <w:tab w:val="left" w:pos="4400" w:leader="none"/>
              </w:tabs>
              <w:spacing w:lineRule="auto" w:line="240" w:before="0" w:after="0"/>
              <w:ind w:hanging="0" w:left="0" w:right="0"/>
              <w:contextualSpacing/>
              <w:jc w:val="both"/>
              <w:rPr>
                <w:rFonts w:ascii="Times New Roman" w:hAnsi="Times New Roman" w:eastAsia="Tahoma" w:cs="Noto Sans Devanagari"/>
                <w:color w:val="000000"/>
                <w:kern w:val="0"/>
                <w:sz w:val="24"/>
                <w:szCs w:val="24"/>
                <w:lang w:val="ru-RU" w:eastAsia="en-US" w:bidi="ar-SA"/>
              </w:rPr>
            </w:pPr>
            <w:r>
              <w:rPr>
                <w:rFonts w:eastAsia="Tahoma" w:cs="Noto Sans Devanagari" w:ascii="Times New Roman" w:hAnsi="Times New Roman"/>
                <w:color w:val="000000"/>
                <w:kern w:val="0"/>
                <w:sz w:val="24"/>
                <w:szCs w:val="24"/>
                <w:lang w:val="ru-RU" w:eastAsia="en-US" w:bidi="ar-SA"/>
              </w:rPr>
              <w:t>В нашей местной больнице не хватает врачей узких специальностей. Поэтому мне пришлось в ноябре 2024 года записаться на прием к ортопеду на январь 2025 года. Обещали позвонить из Центра травматологии, ортопедии и эндопротезирования г. Чебоксары. До сих пор не позвонили. Самостоятельно пытался дозвониться в Центр - невозможно дозвониться. Просим помочь.</w:t>
            </w:r>
          </w:p>
        </w:tc>
        <w:tc>
          <w:tcPr>
            <w:tcW w:w="2488" w:type="dxa"/>
            <w:tcBorders>
              <w:left w:val="single" w:sz="4" w:space="0" w:color="000000"/>
              <w:bottom w:val="single" w:sz="4" w:space="0" w:color="000000"/>
            </w:tcBorders>
          </w:tcPr>
          <w:p>
            <w:pPr>
              <w:pStyle w:val="Normal"/>
              <w:tabs>
                <w:tab w:val="clear" w:pos="708"/>
                <w:tab w:val="left" w:pos="4400" w:leader="none"/>
              </w:tabs>
              <w:spacing w:lineRule="auto" w:line="240" w:before="0" w:after="0"/>
              <w:ind w:hanging="0" w:left="0" w:right="0"/>
              <w:contextualSpacing/>
              <w:jc w:val="left"/>
              <w:rPr>
                <w:rFonts w:ascii="Times New Roman" w:hAnsi="Times New Roman" w:eastAsia="Tahoma" w:cs="Noto Sans Devanagari"/>
                <w:color w:val="000000"/>
                <w:kern w:val="0"/>
                <w:sz w:val="24"/>
                <w:szCs w:val="24"/>
                <w:lang w:val="ru-RU" w:eastAsia="en-US" w:bidi="ar-SA"/>
              </w:rPr>
            </w:pPr>
            <w:r>
              <w:rPr>
                <w:rFonts w:eastAsia="Tahoma" w:cs="Noto Sans Devanagari" w:ascii="Times New Roman" w:hAnsi="Times New Roman"/>
                <w:color w:val="000000"/>
                <w:kern w:val="0"/>
                <w:sz w:val="24"/>
                <w:szCs w:val="24"/>
                <w:lang w:val="ru-RU" w:eastAsia="en-US" w:bidi="ar-SA"/>
              </w:rPr>
              <w:t>житель г. Мариинский Посад</w:t>
            </w:r>
          </w:p>
        </w:tc>
        <w:tc>
          <w:tcPr>
            <w:tcW w:w="737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tabs>
                <w:tab w:val="clear" w:pos="708"/>
                <w:tab w:val="left" w:pos="565" w:leader="none"/>
                <w:tab w:val="left" w:pos="4400" w:leader="none"/>
              </w:tabs>
              <w:spacing w:lineRule="auto" w:line="240" w:before="0" w:after="0"/>
              <w:ind w:firstLine="283" w:left="0" w:right="0"/>
              <w:contextualSpacing/>
              <w:jc w:val="left"/>
              <w:rPr/>
            </w:pPr>
            <w:r>
              <w:rPr>
                <w:rFonts w:eastAsia="Tahoma" w:cs="Noto Sans Devanagari" w:ascii="Times New Roman" w:hAnsi="Times New Roman"/>
                <w:b/>
                <w:bCs/>
                <w:color w:val="000000"/>
                <w:kern w:val="0"/>
                <w:sz w:val="24"/>
                <w:szCs w:val="24"/>
                <w:lang w:val="ru-RU" w:eastAsia="en-US" w:bidi="ar-SA"/>
              </w:rPr>
              <w:t>Минздрав Чувашии</w:t>
            </w:r>
            <w:r>
              <w:rPr>
                <w:rFonts w:eastAsia="Tahoma" w:cs="Noto Sans Devanagari" w:ascii="Times New Roman" w:hAnsi="Times New Roman"/>
                <w:color w:val="000000"/>
                <w:kern w:val="0"/>
                <w:sz w:val="24"/>
                <w:szCs w:val="24"/>
                <w:lang w:val="ru-RU" w:eastAsia="en-US" w:bidi="ar-SA"/>
              </w:rPr>
              <w:t xml:space="preserve"> сообщает следующее.</w:t>
            </w:r>
          </w:p>
          <w:p>
            <w:pPr>
              <w:pStyle w:val="Normal"/>
              <w:tabs>
                <w:tab w:val="clear" w:pos="708"/>
                <w:tab w:val="left" w:pos="565" w:leader="none"/>
                <w:tab w:val="left" w:pos="4400" w:leader="none"/>
              </w:tabs>
              <w:spacing w:lineRule="auto" w:line="240" w:before="0" w:after="0"/>
              <w:ind w:firstLine="283" w:left="0" w:right="0"/>
              <w:contextualSpacing/>
              <w:jc w:val="both"/>
              <w:rPr/>
            </w:pPr>
            <w:r>
              <w:rPr>
                <w:rFonts w:eastAsia="Tahoma" w:cs="Noto Sans Devanagari" w:ascii="Times New Roman" w:hAnsi="Times New Roman"/>
                <w:color w:val="000000"/>
                <w:kern w:val="0"/>
                <w:sz w:val="24"/>
                <w:szCs w:val="24"/>
                <w:lang w:val="ru-RU" w:eastAsia="en-US" w:bidi="ar-SA"/>
              </w:rPr>
              <w:t>По информации, представленной БУ «Мариинско – Посадская центральная районная больница» Минздрава Чувашии, для повышения доступности медицинской помощи населению с 20.01.2025 г. в учреждении организован прием врача – травматолога.</w:t>
            </w:r>
          </w:p>
          <w:p>
            <w:pPr>
              <w:pStyle w:val="Normal"/>
              <w:tabs>
                <w:tab w:val="clear" w:pos="708"/>
                <w:tab w:val="left" w:pos="565" w:leader="none"/>
                <w:tab w:val="left" w:pos="4400" w:leader="none"/>
              </w:tabs>
              <w:spacing w:lineRule="auto" w:line="240" w:before="0" w:after="0"/>
              <w:ind w:firstLine="283" w:left="0" w:right="0"/>
              <w:contextualSpacing/>
              <w:jc w:val="both"/>
              <w:rPr/>
            </w:pPr>
            <w:r>
              <w:rPr>
                <w:rFonts w:eastAsia="Tahoma" w:cs="Noto Sans Devanagari" w:ascii="Times New Roman" w:hAnsi="Times New Roman"/>
                <w:color w:val="000000"/>
                <w:kern w:val="0"/>
                <w:sz w:val="24"/>
                <w:szCs w:val="24"/>
                <w:lang w:val="ru-RU" w:eastAsia="en-US" w:bidi="ar-SA"/>
              </w:rPr>
              <w:t>Для определения тактики обследования и лечения Вы приглашены на консультацию к врачу – травматологу к 09.10 ч. 03.03.2025. При себе иметь паспорт, полис медицинского страхования.</w:t>
            </w:r>
          </w:p>
        </w:tc>
      </w:tr>
      <w:tr>
        <w:trPr>
          <w:trHeight w:val="864" w:hRule="atLeast"/>
        </w:trPr>
        <w:tc>
          <w:tcPr>
            <w:tcW w:w="73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numPr>
                <w:ilvl w:val="0"/>
                <w:numId w:val="1"/>
              </w:numPr>
              <w:tabs>
                <w:tab w:val="clear" w:pos="708"/>
                <w:tab w:val="left" w:pos="9253" w:leader="none"/>
              </w:tabs>
              <w:spacing w:lineRule="auto" w:line="240" w:before="0" w:after="0"/>
              <w:ind w:hanging="0" w:left="0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</w:r>
          </w:p>
        </w:tc>
        <w:tc>
          <w:tcPr>
            <w:tcW w:w="4296" w:type="dxa"/>
            <w:tcBorders>
              <w:left w:val="single" w:sz="4" w:space="0" w:color="000000"/>
              <w:bottom w:val="single" w:sz="4" w:space="0" w:color="000000"/>
            </w:tcBorders>
          </w:tcPr>
          <w:p>
            <w:pPr>
              <w:pStyle w:val="Normal"/>
              <w:tabs>
                <w:tab w:val="clear" w:pos="708"/>
                <w:tab w:val="left" w:pos="4400" w:leader="none"/>
              </w:tabs>
              <w:spacing w:lineRule="auto" w:line="240" w:before="0" w:after="0"/>
              <w:ind w:hanging="0" w:left="0" w:right="0"/>
              <w:contextualSpacing/>
              <w:jc w:val="both"/>
              <w:rPr>
                <w:rFonts w:ascii="Times New Roman" w:hAnsi="Times New Roman" w:eastAsia="Tahoma" w:cs="Noto Sans Devanagari"/>
                <w:color w:val="000000"/>
                <w:kern w:val="0"/>
                <w:sz w:val="24"/>
                <w:szCs w:val="24"/>
                <w:lang w:val="ru-RU" w:eastAsia="en-US" w:bidi="ar-SA"/>
              </w:rPr>
            </w:pPr>
            <w:r>
              <w:rPr>
                <w:rFonts w:eastAsia="Tahoma" w:cs="Noto Sans Devanagari" w:ascii="Times New Roman" w:hAnsi="Times New Roman"/>
                <w:color w:val="000000"/>
                <w:kern w:val="0"/>
                <w:sz w:val="24"/>
                <w:szCs w:val="24"/>
                <w:lang w:val="ru-RU" w:eastAsia="en-US" w:bidi="ar-SA"/>
              </w:rPr>
              <w:t>Для нужд дома хочу подключить провод от частного дома к общему столбу (380 В и 15 кВт). Но у меня запросили 46 тысяч рублей. Еще Электросети предлагают ставить новый электросчетчик. Мне объяснили, что счетчики они ставят только на 220 В. А мне необходимо на 380 В. Как мне быть?</w:t>
            </w:r>
          </w:p>
        </w:tc>
        <w:tc>
          <w:tcPr>
            <w:tcW w:w="2488" w:type="dxa"/>
            <w:tcBorders>
              <w:left w:val="single" w:sz="4" w:space="0" w:color="000000"/>
              <w:bottom w:val="single" w:sz="4" w:space="0" w:color="000000"/>
            </w:tcBorders>
          </w:tcPr>
          <w:p>
            <w:pPr>
              <w:pStyle w:val="Normal"/>
              <w:tabs>
                <w:tab w:val="clear" w:pos="708"/>
                <w:tab w:val="left" w:pos="4400" w:leader="none"/>
              </w:tabs>
              <w:spacing w:lineRule="auto" w:line="240" w:before="0" w:after="0"/>
              <w:ind w:hanging="0" w:left="0" w:right="0"/>
              <w:contextualSpacing/>
              <w:rPr>
                <w:rFonts w:ascii="Times New Roman" w:hAnsi="Times New Roman" w:eastAsia="Tahoma" w:cs="Noto Sans Devanagari"/>
                <w:color w:val="000000"/>
                <w:kern w:val="0"/>
                <w:sz w:val="24"/>
                <w:szCs w:val="24"/>
                <w:lang w:val="ru-RU" w:eastAsia="en-US" w:bidi="ar-SA"/>
              </w:rPr>
            </w:pPr>
            <w:r>
              <w:rPr>
                <w:rFonts w:eastAsia="Tahoma" w:cs="Noto Sans Devanagari" w:ascii="Times New Roman" w:hAnsi="Times New Roman"/>
                <w:color w:val="000000"/>
                <w:kern w:val="0"/>
                <w:sz w:val="24"/>
                <w:szCs w:val="24"/>
                <w:lang w:val="ru-RU" w:eastAsia="en-US" w:bidi="ar-SA"/>
              </w:rPr>
              <w:t>житель г. Мариинский Посад</w:t>
            </w:r>
          </w:p>
        </w:tc>
        <w:tc>
          <w:tcPr>
            <w:tcW w:w="737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tabs>
                <w:tab w:val="clear" w:pos="708"/>
                <w:tab w:val="left" w:pos="565" w:leader="none"/>
                <w:tab w:val="left" w:pos="4400" w:leader="none"/>
              </w:tabs>
              <w:spacing w:lineRule="auto" w:line="240" w:before="0" w:after="0"/>
              <w:ind w:firstLine="283" w:left="0" w:right="0"/>
              <w:contextualSpacing/>
              <w:rPr/>
            </w:pPr>
            <w:r>
              <w:rPr>
                <w:rFonts w:eastAsia="Tahoma" w:cs="Noto Sans Devanagari" w:ascii="Times New Roman" w:hAnsi="Times New Roman"/>
                <w:b/>
                <w:bCs/>
                <w:color w:val="000000"/>
                <w:kern w:val="0"/>
                <w:sz w:val="24"/>
                <w:szCs w:val="24"/>
                <w:lang w:val="ru-RU" w:eastAsia="en-US" w:bidi="ar-SA"/>
              </w:rPr>
              <w:t xml:space="preserve">Минпромэнерго Чувашии </w:t>
            </w:r>
            <w:r>
              <w:rPr>
                <w:rFonts w:eastAsia="Tahoma" w:cs="Noto Sans Devanagari" w:ascii="Times New Roman" w:hAnsi="Times New Roman"/>
                <w:color w:val="000000"/>
                <w:kern w:val="0"/>
                <w:sz w:val="24"/>
                <w:szCs w:val="24"/>
                <w:lang w:val="ru-RU" w:eastAsia="en-US" w:bidi="ar-SA"/>
              </w:rPr>
              <w:t>сообщает следующее.</w:t>
            </w:r>
          </w:p>
          <w:p>
            <w:pPr>
              <w:pStyle w:val="Normal"/>
              <w:tabs>
                <w:tab w:val="clear" w:pos="708"/>
                <w:tab w:val="left" w:pos="565" w:leader="none"/>
                <w:tab w:val="left" w:pos="4400" w:leader="none"/>
              </w:tabs>
              <w:spacing w:lineRule="auto" w:line="240" w:before="0" w:after="0"/>
              <w:ind w:firstLine="283" w:left="0" w:right="0"/>
              <w:contextualSpacing/>
              <w:jc w:val="both"/>
              <w:rPr/>
            </w:pPr>
            <w:r>
              <w:rPr>
                <w:rFonts w:eastAsia="Tahoma" w:cs="Noto Sans Devanagari" w:ascii="Times New Roman" w:hAnsi="Times New Roman"/>
                <w:color w:val="000000"/>
                <w:kern w:val="0"/>
                <w:sz w:val="24"/>
                <w:szCs w:val="24"/>
                <w:lang w:val="ru-RU" w:eastAsia="en-US" w:bidi="ar-SA"/>
              </w:rPr>
              <w:t>Направлен запрос в адрес ООО «РЭС-Энерго» (далее – Общество), а также в адрес Государственной службы Чувашской Республики по конкурентной политике и тарифам (далее – Госслужба).</w:t>
            </w:r>
          </w:p>
          <w:p>
            <w:pPr>
              <w:pStyle w:val="Normal"/>
              <w:tabs>
                <w:tab w:val="clear" w:pos="708"/>
                <w:tab w:val="left" w:pos="565" w:leader="none"/>
                <w:tab w:val="left" w:pos="4400" w:leader="none"/>
              </w:tabs>
              <w:spacing w:lineRule="auto" w:line="240" w:before="0" w:after="0"/>
              <w:ind w:firstLine="283" w:left="0" w:right="0"/>
              <w:contextualSpacing/>
              <w:jc w:val="both"/>
              <w:rPr/>
            </w:pPr>
            <w:r>
              <w:rPr>
                <w:rFonts w:eastAsia="Tahoma" w:cs="Noto Sans Devanagari" w:ascii="Times New Roman" w:hAnsi="Times New Roman"/>
                <w:color w:val="000000"/>
                <w:kern w:val="0"/>
                <w:sz w:val="24"/>
                <w:szCs w:val="24"/>
                <w:lang w:val="ru-RU" w:eastAsia="en-US" w:bidi="ar-SA"/>
              </w:rPr>
              <w:t>По информации Общества в адрес Общества обращений, заявлений, заявок на технологическое присоединение энергопринимающих устройств по адресу обращения не поступало. Жилой дом, расположенный по вышеуказанному адресу, технологически присоединен к электрическим сетям на уровне напряжения 0,23 кВ. В настоящее время срок межповерочного интервала однофазного прибора учета электрической энергии, установленного по Адресу обращения, истек, в связи с чем планируется его замена в соответствии с постановлением Правительства Российской Федерации от 04.05.2012 № 442 «О функционировании розничных рынков электрической энергии, полном и (или) частичном ограничении режима потребления электрической энергии».</w:t>
            </w:r>
          </w:p>
          <w:p>
            <w:pPr>
              <w:pStyle w:val="Normal"/>
              <w:tabs>
                <w:tab w:val="clear" w:pos="708"/>
                <w:tab w:val="left" w:pos="565" w:leader="none"/>
                <w:tab w:val="left" w:pos="4400" w:leader="none"/>
              </w:tabs>
              <w:spacing w:lineRule="auto" w:line="240" w:before="0" w:after="0"/>
              <w:ind w:firstLine="283" w:left="0" w:right="0"/>
              <w:contextualSpacing/>
              <w:jc w:val="both"/>
              <w:rPr/>
            </w:pPr>
            <w:r>
              <w:rPr>
                <w:rFonts w:eastAsia="Tahoma" w:cs="Noto Sans Devanagari" w:ascii="Times New Roman" w:hAnsi="Times New Roman"/>
                <w:color w:val="000000"/>
                <w:kern w:val="0"/>
                <w:sz w:val="24"/>
                <w:szCs w:val="24"/>
                <w:lang w:val="ru-RU" w:eastAsia="en-US" w:bidi="ar-SA"/>
              </w:rPr>
              <w:t>В соответствии с пунктом 8 Правил технологического присоединения энергопринимающих устройств потребителей электрической энергии, объектов по производству электрической энергии, а также объектов электросетевого хозяйства, принадлежащих сетевым организациям и иным лицам, к электрическим сетям, утвержденных постановлением Правительства Российской Федерации от 27.12.2004 № 861 (далее – Правила), с целью заключения договора заявитель направляет заявку в сетевую организацию, объекты электросетевого хозяйства которой расположены на наименьшем расстоянии от границ участка заявителя. Заявка направляется по формам согласно приложениям № 4 - 7(1) Правил любым способом ее подачи (очно, почтой, с использованием официального сайта сетевой организации или в случае обеспечения сетевой организацией, в которую подается заявка, возможности реализации прав и обязанностей заявителей, возникающих в ходе осуществления процедуры технологического присоединения энергопринимающих устройств к электрическим сетям, с использованием федеральной государственной информационной системы «Единый портал государственных и муниципальных услуг (функций)»). При этом в заявке указываются сведения, предусмотренные пунктом 9 Правил с приложением документов, перечень которых установлен пунктом 10 Правил.</w:t>
            </w:r>
          </w:p>
          <w:p>
            <w:pPr>
              <w:pStyle w:val="Normal"/>
              <w:tabs>
                <w:tab w:val="clear" w:pos="708"/>
                <w:tab w:val="left" w:pos="565" w:leader="none"/>
                <w:tab w:val="left" w:pos="4400" w:leader="none"/>
              </w:tabs>
              <w:spacing w:lineRule="auto" w:line="240" w:before="0" w:after="0"/>
              <w:ind w:firstLine="283" w:left="0" w:right="0"/>
              <w:contextualSpacing/>
              <w:jc w:val="both"/>
              <w:rPr/>
            </w:pPr>
            <w:r>
              <w:rPr>
                <w:rFonts w:eastAsia="Tahoma" w:cs="Noto Sans Devanagari" w:ascii="Times New Roman" w:hAnsi="Times New Roman"/>
                <w:color w:val="000000"/>
                <w:kern w:val="0"/>
                <w:sz w:val="24"/>
                <w:szCs w:val="24"/>
                <w:lang w:val="ru-RU" w:eastAsia="en-US" w:bidi="ar-SA"/>
              </w:rPr>
              <w:t>Расчет платы за технологическое присоединение к электрическим сетям определяется в соответствии с Федеральным законом от 26.03.2003 № 35-ФЗ «Об электроэнергетике», постановлением Правительства Российской Федерации от 29.12.2011 № 1178 «О ценообразовании в области регулируемых цен (тарифов) в электроэнергетике», Правилами, приказом ФАС России от 30.06.2022 № 490/22 «Об утверждении Методических указаний по определению размера платы за технологическое присоединение к электрическим сетям». В соответствии с абзацами одиннадцатым – девятнадцатым пункта 17 Правил расчет платы за технологическое присоединение возможен с применением льготной ставки при представлении заявителем документов, оформленных уполномоченным федеральным органом исполнительной власти (исполнительным органом субъекта Российской Федерации, уполномоченным им государственным учреждением, органом местного самоуправления), подтверждающих соответствие заявителя льготной категории, с учетом особенностей, указанных в абзаце двадцатом пункта 17 Правил.</w:t>
            </w:r>
          </w:p>
          <w:p>
            <w:pPr>
              <w:pStyle w:val="Normal"/>
              <w:tabs>
                <w:tab w:val="clear" w:pos="708"/>
                <w:tab w:val="left" w:pos="565" w:leader="none"/>
                <w:tab w:val="left" w:pos="4400" w:leader="none"/>
              </w:tabs>
              <w:spacing w:lineRule="auto" w:line="240" w:before="0" w:after="0"/>
              <w:ind w:firstLine="283" w:left="0" w:right="0"/>
              <w:contextualSpacing/>
              <w:jc w:val="both"/>
              <w:rPr/>
            </w:pPr>
            <w:r>
              <w:rPr>
                <w:rFonts w:eastAsia="Tahoma" w:cs="Noto Sans Devanagari" w:ascii="Times New Roman" w:hAnsi="Times New Roman"/>
                <w:color w:val="000000"/>
                <w:kern w:val="0"/>
                <w:sz w:val="24"/>
                <w:szCs w:val="24"/>
                <w:lang w:val="ru-RU" w:eastAsia="en-US" w:bidi="ar-SA"/>
              </w:rPr>
              <w:t>По информации Госслужбы в соответствии с пунктом 17 Правил, плата за технологическое присоединение энергопринимающих устройств заявителей – физических лиц, максимальная мощность которых не превышает 15 кВт включительно (с учетом ранее присоединенных в данной точке присоединения энергопринимающих устройств), присоединяемых по третьей категории надежности к объектам электросетевого хозяйства сетевой организации на уровне напряжения 0,4 кВ и ниже, при условии, что расстояние от границ участка заявителя до ближайшего объекта электрической сети необходимого заявителю класса напряжения сетевой организации составляет не более 300 метров в городах и поселках городского типа и не более 500 метров в сельской местности, определяется в размере минимального из следующих значений:</w:t>
            </w:r>
          </w:p>
          <w:p>
            <w:pPr>
              <w:pStyle w:val="Normal"/>
              <w:tabs>
                <w:tab w:val="clear" w:pos="708"/>
                <w:tab w:val="left" w:pos="565" w:leader="none"/>
                <w:tab w:val="left" w:pos="4400" w:leader="none"/>
              </w:tabs>
              <w:spacing w:lineRule="auto" w:line="240" w:before="0" w:after="0"/>
              <w:ind w:firstLine="283" w:left="0" w:right="0"/>
              <w:contextualSpacing/>
              <w:jc w:val="both"/>
              <w:rPr/>
            </w:pPr>
            <w:r>
              <w:rPr>
                <w:rFonts w:eastAsia="Tahoma" w:cs="Noto Sans Devanagari" w:ascii="Times New Roman" w:hAnsi="Times New Roman"/>
                <w:color w:val="000000"/>
                <w:kern w:val="0"/>
                <w:sz w:val="24"/>
                <w:szCs w:val="24"/>
                <w:lang w:val="ru-RU" w:eastAsia="en-US" w:bidi="ar-SA"/>
              </w:rPr>
              <w:t>стоимость мероприятий по технологическому присоединению, рассчитанная с применением стандартизированных тарифных ставок;</w:t>
            </w:r>
          </w:p>
          <w:p>
            <w:pPr>
              <w:pStyle w:val="Normal"/>
              <w:tabs>
                <w:tab w:val="clear" w:pos="708"/>
                <w:tab w:val="left" w:pos="565" w:leader="none"/>
                <w:tab w:val="left" w:pos="4400" w:leader="none"/>
              </w:tabs>
              <w:spacing w:lineRule="auto" w:line="240" w:before="0" w:after="0"/>
              <w:ind w:firstLine="283" w:left="0" w:right="0"/>
              <w:contextualSpacing/>
              <w:rPr/>
            </w:pPr>
            <w:r>
              <w:rPr>
                <w:rFonts w:eastAsia="Tahoma" w:cs="Noto Sans Devanagari" w:ascii="Times New Roman" w:hAnsi="Times New Roman"/>
                <w:color w:val="000000"/>
                <w:kern w:val="0"/>
                <w:sz w:val="24"/>
                <w:szCs w:val="24"/>
                <w:lang w:val="ru-RU" w:eastAsia="en-US" w:bidi="ar-SA"/>
              </w:rPr>
              <w:t>стоимость мероприятий по технологическому присоединению, рассчитанная с применением льготной ставки за 1 кВт запрашиваемой максимальной мощности, которая устанавливается в отношении всей совокупности таких мероприятий для соответствующих случаев технологического присоединения.</w:t>
            </w:r>
          </w:p>
          <w:p>
            <w:pPr>
              <w:pStyle w:val="Normal"/>
              <w:tabs>
                <w:tab w:val="clear" w:pos="708"/>
                <w:tab w:val="left" w:pos="565" w:leader="none"/>
                <w:tab w:val="left" w:pos="4400" w:leader="none"/>
              </w:tabs>
              <w:spacing w:lineRule="auto" w:line="240" w:before="0" w:after="0"/>
              <w:ind w:firstLine="283" w:left="0" w:right="0"/>
              <w:contextualSpacing/>
              <w:jc w:val="both"/>
              <w:rPr/>
            </w:pPr>
            <w:r>
              <w:rPr>
                <w:rFonts w:eastAsia="Tahoma" w:cs="Noto Sans Devanagari" w:ascii="Times New Roman" w:hAnsi="Times New Roman"/>
                <w:color w:val="000000"/>
                <w:kern w:val="0"/>
                <w:sz w:val="24"/>
                <w:szCs w:val="24"/>
                <w:lang w:val="ru-RU" w:eastAsia="en-US" w:bidi="ar-SA"/>
              </w:rPr>
              <w:t>По данным Госслужбы в случае, если стоимость мероприятий по технологическому присоединению, рассчитанная в соответствии с абзацем третьим пункта 17 Правил, составляет менее платы за технологическое присоединение, рассчитанной в порядке, предусмотренном абзацами вторым - пятым пункта 17(4) Правил, то плата за технологическое присоединение рассчитывается в соответствии с абзацами вторым - пятым пункта 17(4) Правил. Размер платы за технологическое присоединение определяется исходя из технических условий, выданных территориальной сетевой организацией заявителю, а также стандартизированных или льготных ставок, установленных на территории Чувашской Республики на 2025 год постановлением Госслужбы от 11.11.2024 № 43-12/тп (с изменениями, внесенными постановлением Госслужбы от 19.12.2024 № 108-17/тп).</w:t>
            </w:r>
          </w:p>
          <w:p>
            <w:pPr>
              <w:pStyle w:val="Normal"/>
              <w:tabs>
                <w:tab w:val="clear" w:pos="708"/>
                <w:tab w:val="left" w:pos="565" w:leader="none"/>
                <w:tab w:val="left" w:pos="4400" w:leader="none"/>
              </w:tabs>
              <w:spacing w:lineRule="auto" w:line="240" w:before="0" w:after="0"/>
              <w:ind w:firstLine="283" w:left="0" w:right="0"/>
              <w:contextualSpacing/>
              <w:jc w:val="both"/>
              <w:rPr/>
            </w:pPr>
            <w:r>
              <w:rPr>
                <w:rFonts w:eastAsia="Tahoma" w:cs="Noto Sans Devanagari" w:ascii="Times New Roman" w:hAnsi="Times New Roman"/>
                <w:color w:val="000000"/>
                <w:kern w:val="0"/>
                <w:sz w:val="24"/>
                <w:szCs w:val="24"/>
                <w:lang w:val="ru-RU" w:eastAsia="en-US" w:bidi="ar-SA"/>
              </w:rPr>
              <w:t>По информации Госслужбы указанные положения при определении размера минимальных значений не могут быть применены в случае технологического присоединения в границах территории субъекта Российской Федерации энергопринимающих устройств, если лицом, обратившимся с заявкой, лицом, передавшим заявителю права владения объектом капитального строительства (нежилым помещением в нем) и (или) земельным участком (в том числе их частью), на которых или в которых расположены (будут располагаться) энергопринимающие устройства заявителя), ранее уже была подана заявка, которая не была аннулирована в соответствии с Правилами, или заключен договор в целях технологического присоединения энергопринимающих устройств, расположенных (предполагаемых к расположению в соответствии с поданной заявкой) в границах территории того же субъекта Российской Федерации, при условии, что со дня заключения такого договора не истекло 3 года. Вопросы определения типов приборов учета электрической энергии с учетом напряжения электрической сети должны рассматриваться с учетом особенностей технических условий, составленных при осуществлении технологического присоединения к электрическим сетям энергопринимающих устройств заявителя.</w:t>
            </w:r>
          </w:p>
          <w:p>
            <w:pPr>
              <w:pStyle w:val="Normal"/>
              <w:tabs>
                <w:tab w:val="clear" w:pos="708"/>
                <w:tab w:val="left" w:pos="565" w:leader="none"/>
                <w:tab w:val="left" w:pos="4400" w:leader="none"/>
              </w:tabs>
              <w:spacing w:lineRule="auto" w:line="240" w:before="0" w:after="0"/>
              <w:ind w:firstLine="283" w:left="0" w:right="0"/>
              <w:contextualSpacing/>
              <w:jc w:val="both"/>
              <w:rPr/>
            </w:pPr>
            <w:r>
              <w:rPr>
                <w:rFonts w:eastAsia="Tahoma" w:cs="Noto Sans Devanagari" w:ascii="Times New Roman" w:hAnsi="Times New Roman"/>
                <w:color w:val="000000"/>
                <w:kern w:val="0"/>
                <w:sz w:val="24"/>
                <w:szCs w:val="24"/>
                <w:lang w:val="ru-RU" w:eastAsia="en-US" w:bidi="ar-SA"/>
              </w:rPr>
              <w:t>На основании вышеизложенного с целью технологического присоединения энергопринимающих устройств по Адресу обращения необходимо подать заявку в адрес Общества любым способом ее подачи (очно, почтой, с использованием официального сайта Общества или в случае обеспечения сетевой организацией, в которую подается заявка, возможности реализации прав и обязанностей заявителей, возникающих в ходе осуществления процедуры технологического присоединения энергопринимающих устройств к электрическим сетям, с использованием федеральной государственной информационной системы «Единый портал государственных и муниципальных услуг (функций)»). После направления заявки и предоставления необходимых сведений и документов, Общество готово подготовить и выдать проект договора об осуществлении технологического присоединения к электрическим сетям и технические условия.</w:t>
            </w:r>
          </w:p>
        </w:tc>
      </w:tr>
      <w:tr>
        <w:trPr>
          <w:trHeight w:val="87" w:hRule="atLeast"/>
        </w:trPr>
        <w:tc>
          <w:tcPr>
            <w:tcW w:w="73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numPr>
                <w:ilvl w:val="0"/>
                <w:numId w:val="1"/>
              </w:numPr>
              <w:tabs>
                <w:tab w:val="clear" w:pos="708"/>
                <w:tab w:val="left" w:pos="9253" w:leader="none"/>
              </w:tabs>
              <w:spacing w:lineRule="auto" w:line="240" w:before="0" w:after="0"/>
              <w:ind w:hanging="0" w:left="0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</w:r>
          </w:p>
        </w:tc>
        <w:tc>
          <w:tcPr>
            <w:tcW w:w="4296" w:type="dxa"/>
            <w:tcBorders>
              <w:left w:val="single" w:sz="4" w:space="0" w:color="000000"/>
              <w:bottom w:val="single" w:sz="4" w:space="0" w:color="000000"/>
            </w:tcBorders>
          </w:tcPr>
          <w:p>
            <w:pPr>
              <w:pStyle w:val="Normal"/>
              <w:tabs>
                <w:tab w:val="clear" w:pos="708"/>
                <w:tab w:val="left" w:pos="4400" w:leader="none"/>
              </w:tabs>
              <w:spacing w:lineRule="auto" w:line="240" w:before="0" w:after="0"/>
              <w:ind w:hanging="0" w:left="0" w:right="0"/>
              <w:contextualSpacing/>
              <w:jc w:val="both"/>
              <w:rPr>
                <w:rFonts w:ascii="Times New Roman" w:hAnsi="Times New Roman" w:eastAsia="Tahoma" w:cs="Noto Sans Devanagari"/>
                <w:color w:val="000000"/>
                <w:kern w:val="0"/>
                <w:sz w:val="24"/>
                <w:szCs w:val="24"/>
                <w:lang w:val="ru-RU" w:eastAsia="en-US" w:bidi="ar-SA"/>
              </w:rPr>
            </w:pPr>
            <w:r>
              <w:rPr>
                <w:rFonts w:eastAsia="Tahoma" w:cs="Noto Sans Devanagari" w:ascii="Times New Roman" w:hAnsi="Times New Roman"/>
                <w:color w:val="000000"/>
                <w:kern w:val="0"/>
                <w:sz w:val="24"/>
                <w:szCs w:val="24"/>
                <w:lang w:val="ru-RU" w:eastAsia="en-US" w:bidi="ar-SA"/>
              </w:rPr>
              <w:t>Предложение: можно ли организовать на базе БУ «Мариинско-Посадская ЦРБ им. Н.А. Гекрена» Минздрава Чувашии Медицинский центр обследований, как в Республике Марий Эл?</w:t>
            </w:r>
          </w:p>
        </w:tc>
        <w:tc>
          <w:tcPr>
            <w:tcW w:w="2488" w:type="dxa"/>
            <w:tcBorders>
              <w:left w:val="single" w:sz="4" w:space="0" w:color="000000"/>
              <w:bottom w:val="single" w:sz="4" w:space="0" w:color="000000"/>
            </w:tcBorders>
          </w:tcPr>
          <w:p>
            <w:pPr>
              <w:pStyle w:val="Normal"/>
              <w:tabs>
                <w:tab w:val="clear" w:pos="708"/>
                <w:tab w:val="left" w:pos="4400" w:leader="none"/>
              </w:tabs>
              <w:spacing w:lineRule="auto" w:line="240" w:before="0" w:after="0"/>
              <w:ind w:hanging="0" w:left="0" w:right="0"/>
              <w:contextualSpacing/>
              <w:rPr>
                <w:rFonts w:ascii="Times New Roman" w:hAnsi="Times New Roman" w:eastAsia="Tahoma" w:cs="Noto Sans Devanagari"/>
                <w:color w:val="000000"/>
                <w:kern w:val="0"/>
                <w:sz w:val="24"/>
                <w:szCs w:val="24"/>
                <w:lang w:val="ru-RU" w:eastAsia="en-US" w:bidi="ar-SA"/>
              </w:rPr>
            </w:pPr>
            <w:r>
              <w:rPr>
                <w:rFonts w:eastAsia="Tahoma" w:cs="Noto Sans Devanagari" w:ascii="Times New Roman" w:hAnsi="Times New Roman"/>
                <w:color w:val="000000"/>
                <w:kern w:val="0"/>
                <w:sz w:val="24"/>
                <w:szCs w:val="24"/>
                <w:lang w:val="ru-RU" w:eastAsia="en-US" w:bidi="ar-SA"/>
              </w:rPr>
              <w:t>жители г. Мариинский Посад</w:t>
            </w:r>
          </w:p>
        </w:tc>
        <w:tc>
          <w:tcPr>
            <w:tcW w:w="737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tabs>
                <w:tab w:val="clear" w:pos="708"/>
                <w:tab w:val="left" w:pos="565" w:leader="none"/>
                <w:tab w:val="left" w:pos="4400" w:leader="none"/>
              </w:tabs>
              <w:spacing w:lineRule="auto" w:line="240" w:before="0" w:after="0"/>
              <w:ind w:firstLine="283" w:left="0" w:right="0"/>
              <w:contextualSpacing/>
              <w:jc w:val="both"/>
              <w:rPr/>
            </w:pPr>
            <w:r>
              <w:rPr>
                <w:rFonts w:eastAsia="Tahoma" w:cs="Noto Sans Devanagari" w:ascii="Times New Roman" w:hAnsi="Times New Roman"/>
                <w:b/>
                <w:bCs/>
                <w:color w:val="000000"/>
                <w:kern w:val="0"/>
                <w:sz w:val="24"/>
                <w:szCs w:val="24"/>
                <w:lang w:val="ru-RU" w:eastAsia="en-US" w:bidi="ar-SA"/>
              </w:rPr>
              <w:t>Минздрав Чувашии</w:t>
            </w:r>
            <w:r>
              <w:rPr>
                <w:rFonts w:eastAsia="Tahoma" w:cs="Noto Sans Devanagari" w:ascii="Times New Roman" w:hAnsi="Times New Roman"/>
                <w:color w:val="000000"/>
                <w:kern w:val="0"/>
                <w:sz w:val="24"/>
                <w:szCs w:val="24"/>
                <w:lang w:val="ru-RU" w:eastAsia="en-US" w:bidi="ar-SA"/>
              </w:rPr>
              <w:t xml:space="preserve"> сообщает следующее.</w:t>
            </w:r>
          </w:p>
          <w:p>
            <w:pPr>
              <w:pStyle w:val="Normal"/>
              <w:tabs>
                <w:tab w:val="clear" w:pos="708"/>
                <w:tab w:val="left" w:pos="565" w:leader="none"/>
                <w:tab w:val="left" w:pos="4400" w:leader="none"/>
              </w:tabs>
              <w:spacing w:lineRule="auto" w:line="240" w:before="0" w:after="0"/>
              <w:ind w:firstLine="283" w:left="0" w:right="0"/>
              <w:contextualSpacing/>
              <w:jc w:val="both"/>
              <w:rPr/>
            </w:pPr>
            <w:r>
              <w:rPr>
                <w:rFonts w:eastAsia="Tahoma" w:cs="Noto Sans Devanagari" w:ascii="Times New Roman" w:hAnsi="Times New Roman"/>
                <w:color w:val="000000"/>
                <w:kern w:val="0"/>
                <w:sz w:val="24"/>
                <w:szCs w:val="24"/>
                <w:lang w:val="ru-RU" w:eastAsia="en-US" w:bidi="ar-SA"/>
              </w:rPr>
              <w:t>Медицинская помощь населению в Чувашской Республике организована в соответствии с приказом Министерства здравоохранения и социального развития Российской Федерации от 15.05.2012 № 543н «Об утверждении Положения об организации оказания первичной медико-санитарной помощи взрослому населению» (далее - Положение). В зависимости от численности прикрепленного населения первичная доврачебная медико-санитарная помощь оказывается фельдшерами, акушерами, другими медицинскими работниками со средним медицинским образованием фельдшерских здравпунктов, фельдшерскоакушерских пунктов, врачебных амбулаторий, здравпунктов, поликлиник, поликлинических подразделений медицинских организаций, отделений (кабинетов) медицинской профилактики, центров здоровья; первичная врачебная медикосанитарная помощь, оказывается врачами-терапевтами, врачами-терапевтами участковыми, врачами общей практики (семейными врачами) врачебных амбулаторий, здравпунктов, поликлиник, поликлинических подразделений медицинских организаций, кабинетов и центров (отделений) общей врачебной практики (семейной медицины), центров здоровья и отделений (кабинетов) медицинской профилактики.</w:t>
            </w:r>
          </w:p>
          <w:p>
            <w:pPr>
              <w:pStyle w:val="Normal"/>
              <w:tabs>
                <w:tab w:val="clear" w:pos="708"/>
                <w:tab w:val="left" w:pos="565" w:leader="none"/>
                <w:tab w:val="left" w:pos="4400" w:leader="none"/>
              </w:tabs>
              <w:spacing w:lineRule="auto" w:line="240" w:before="0" w:after="0"/>
              <w:ind w:firstLine="283" w:left="0" w:right="0"/>
              <w:contextualSpacing/>
              <w:jc w:val="both"/>
              <w:rPr/>
            </w:pPr>
            <w:r>
              <w:rPr>
                <w:rFonts w:eastAsia="Tahoma" w:cs="Noto Sans Devanagari" w:ascii="Times New Roman" w:hAnsi="Times New Roman"/>
                <w:color w:val="000000"/>
                <w:kern w:val="0"/>
                <w:sz w:val="24"/>
                <w:szCs w:val="24"/>
                <w:lang w:val="ru-RU" w:eastAsia="en-US" w:bidi="ar-SA"/>
              </w:rPr>
              <w:t>Согласно приложению №1 Положения в медицинской организации с численностью прикрепленного населения до 30 тыс. человек в структуре поликлиники рекомендуется предусматривать следующие отделения (кабинеты) первичной специализированной медико-санитарной помощи и диагностические отделения (кабинеты): кабинеты кардиологический, урологический, оториноларингологический, офтальмологический, фтизиатрический, кабинет врача-эндокринолога, кабинет врача-хирурга, кабинет врача-невролога, кабинет травматологии и ортопедии, кабинет неотложной травматологии и ортопедии, отделение (кабинет) инфекционных заболеваний, отделение (кабинет) медицинской профилактики для взрослых, клинико-диагностическая лаборатория, биохимическая лаборатория, отделение (кабинет) функциональной диагностики, отделение (кабинет) ультразвуковой диагностики, отделение рентгенодиагностики, которое может включать рентгеновский кабинет, рентгеновский кабинет для рентгенографии легких (флюорографии), кабинет рентгеновский маммографический.</w:t>
            </w:r>
          </w:p>
          <w:p>
            <w:pPr>
              <w:pStyle w:val="Normal"/>
              <w:tabs>
                <w:tab w:val="clear" w:pos="708"/>
                <w:tab w:val="left" w:pos="565" w:leader="none"/>
                <w:tab w:val="left" w:pos="4400" w:leader="none"/>
              </w:tabs>
              <w:spacing w:lineRule="auto" w:line="240" w:before="0" w:after="0"/>
              <w:ind w:firstLine="283" w:left="0" w:right="0"/>
              <w:contextualSpacing/>
              <w:jc w:val="both"/>
              <w:rPr/>
            </w:pPr>
            <w:r>
              <w:rPr>
                <w:rFonts w:eastAsia="Tahoma" w:cs="Noto Sans Devanagari" w:ascii="Times New Roman" w:hAnsi="Times New Roman"/>
                <w:color w:val="000000"/>
                <w:kern w:val="0"/>
                <w:sz w:val="24"/>
                <w:szCs w:val="24"/>
                <w:lang w:val="ru-RU" w:eastAsia="en-US" w:bidi="ar-SA"/>
              </w:rPr>
              <w:t>На основании вышеизложенного, открытие Медицинского центра обследований на базе БУ «Мариинско – Посадская центральная районная больница» Минздрава Чувашии не предусмотрено.</w:t>
            </w:r>
          </w:p>
        </w:tc>
      </w:tr>
    </w:tbl>
    <w:sectPr>
      <w:headerReference w:type="even" r:id="rId5"/>
      <w:headerReference w:type="default" r:id="rId6"/>
      <w:type w:val="nextPage"/>
      <w:pgSz w:orient="landscape" w:w="16838" w:h="11906"/>
      <w:pgMar w:left="1134" w:right="1134" w:gutter="0" w:header="708" w:top="765" w:footer="0" w:bottom="426"/>
      <w:pgNumType w:fmt="decimal"/>
      <w:formProt w:val="false"/>
      <w:titlePg/>
      <w:textDirection w:val="lrTb"/>
      <w:docGrid w:type="default" w:linePitch="360" w:charSpace="0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01"/>
    <w:family w:val="roman"/>
    <w:pitch w:val="variable"/>
  </w:font>
  <w:font w:name="Times New Roman">
    <w:charset w:val="01"/>
    <w:family w:val="roman"/>
    <w:pitch w:val="default"/>
  </w:font>
  <w:font w:name="Calibri">
    <w:charset w:val="01"/>
    <w:family w:val="roman"/>
    <w:pitch w:val="default"/>
  </w:font>
  <w:font w:name="Arial">
    <w:charset w:val="01"/>
    <w:family w:val="roman"/>
    <w:pitch w:val="default"/>
  </w:font>
  <w:font w:name="Tahoma">
    <w:charset w:val="01"/>
    <w:family w:val="roman"/>
    <w:pitch w:val="default"/>
  </w:font>
  <w:font w:name="Cambria">
    <w:charset w:val="01"/>
    <w:family w:val="roman"/>
    <w:pitch w:val="default"/>
  </w:font>
  <w:font w:name="Arial Unicode MS">
    <w:charset w:val="01"/>
    <w:family w:val="roman"/>
    <w:pitch w:val="default"/>
  </w:font>
  <w:font w:name="PT Astra Serif">
    <w:charset w:val="01"/>
    <w:family w:val="roman"/>
    <w:pitch w:val="default"/>
  </w:font>
  <w:font w:name="TimesET">
    <w:charset w:val="01"/>
    <w:family w:val="roman"/>
    <w:pitch w:val="default"/>
  </w:font>
  <w:font w:name="Verdana">
    <w:charset w:val="01"/>
    <w:family w:val="roman"/>
    <w:pitch w:val="default"/>
  </w:font>
</w:fonts>
</file>

<file path=word/header1.xml><?xml version="1.0" encoding="utf-8"?>
<w:hd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p>
    <w:pPr>
      <w:pStyle w:val="Header"/>
      <w:spacing w:before="0" w:after="200"/>
      <w:rPr/>
    </w:pPr>
    <w:r>
      <w:rPr/>
      <mc:AlternateContent>
        <mc:Choice Requires="wps">
          <w:drawing>
            <wp:anchor behindDoc="1" distT="0" distB="0" distL="0" distR="0" simplePos="0" locked="0" layoutInCell="0" allowOverlap="1" relativeHeight="2">
              <wp:simplePos x="0" y="0"/>
              <wp:positionH relativeFrom="margin">
                <wp:align>center</wp:align>
              </wp:positionH>
              <wp:positionV relativeFrom="paragraph">
                <wp:posOffset>635</wp:posOffset>
              </wp:positionV>
              <wp:extent cx="14605" cy="14605"/>
              <wp:effectExtent l="0" t="0" r="0" b="0"/>
              <wp:wrapSquare wrapText="bothSides"/>
              <wp:docPr id="1" name="Врезка2"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14760" cy="14760"/>
                      </a:xfrm>
                      <a:prstGeom prst="rect">
                        <a:avLst/>
                      </a:prstGeom>
                      <a:noFill/>
                      <a:ln w="0">
                        <a:noFill/>
                      </a:ln>
                    </wps:spPr>
                    <wps:style>
                      <a:lnRef idx="0"/>
                      <a:fillRef idx="0"/>
                      <a:effectRef idx="0"/>
                      <a:fontRef idx="minor"/>
                    </wps:style>
                    <wps:txbx>
                      <w:txbxContent>
                        <w:p>
                          <w:pPr>
                            <w:pStyle w:val="Header"/>
                            <w:spacing w:before="0" w:after="200"/>
                            <w:rPr>
                              <w:rStyle w:val="PageNumber"/>
                            </w:rPr>
                          </w:pPr>
                          <w:r>
                            <w:rPr>
                              <w:rStyle w:val="PageNumber"/>
                              <w:color w:val="000000"/>
                            </w:rPr>
                            <w:fldChar w:fldCharType="begin"/>
                          </w:r>
                          <w:r>
                            <w:rPr>
                              <w:rStyle w:val="PageNumber"/>
                              <w:color w:val="000000"/>
                            </w:rPr>
                            <w:instrText xml:space="preserve"> PAGE </w:instrText>
                          </w:r>
                          <w:r>
                            <w:rPr>
                              <w:rStyle w:val="PageNumber"/>
                              <w:color w:val="000000"/>
                            </w:rPr>
                            <w:fldChar w:fldCharType="separate"/>
                          </w:r>
                          <w:r>
                            <w:rPr>
                              <w:rStyle w:val="PageNumber"/>
                              <w:color w:val="000000"/>
                            </w:rPr>
                            <w:t>0</w:t>
                          </w:r>
                          <w:r>
                            <w:rPr>
                              <w:rStyle w:val="PageNumber"/>
                              <w:color w:val="000000"/>
                            </w:rPr>
                            <w:fldChar w:fldCharType="end"/>
                          </w:r>
                        </w:p>
                      </w:txbxContent>
                    </wps:txbx>
                    <wps:bodyPr lIns="0" rIns="0" tIns="0" bIns="0" anchor="t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rect id="shape_0" ID="Врезка2" path="m0,0l-2147483645,0l-2147483645,-2147483646l0,-2147483646xe" stroked="f" o:allowincell="f" style="position:absolute;margin-left:0pt;margin-top:0.05pt;width:1.1pt;height:1.1pt;mso-wrap-style:square;v-text-anchor:top;mso-position-horizontal:center;mso-position-horizontal-relative:margin">
              <v:fill o:detectmouseclick="t" on="false"/>
              <v:stroke color="#3465a4" joinstyle="round" endcap="flat"/>
              <v:textbox>
                <w:txbxContent>
                  <w:p>
                    <w:pPr>
                      <w:pStyle w:val="Header"/>
                      <w:spacing w:before="0" w:after="200"/>
                      <w:rPr>
                        <w:rStyle w:val="PageNumber"/>
                      </w:rPr>
                    </w:pPr>
                    <w:r>
                      <w:rPr>
                        <w:rStyle w:val="PageNumber"/>
                        <w:color w:val="000000"/>
                      </w:rPr>
                      <w:fldChar w:fldCharType="begin"/>
                    </w:r>
                    <w:r>
                      <w:rPr>
                        <w:rStyle w:val="PageNumber"/>
                        <w:color w:val="000000"/>
                      </w:rPr>
                      <w:instrText xml:space="preserve"> PAGE </w:instrText>
                    </w:r>
                    <w:r>
                      <w:rPr>
                        <w:rStyle w:val="PageNumber"/>
                        <w:color w:val="000000"/>
                      </w:rPr>
                      <w:fldChar w:fldCharType="separate"/>
                    </w:r>
                    <w:r>
                      <w:rPr>
                        <w:rStyle w:val="PageNumber"/>
                        <w:color w:val="000000"/>
                      </w:rPr>
                      <w:t>0</w:t>
                    </w:r>
                    <w:r>
                      <w:rPr>
                        <w:rStyle w:val="PageNumber"/>
                        <w:color w:val="000000"/>
                      </w:rPr>
                      <w:fldChar w:fldCharType="end"/>
                    </w:r>
                  </w:p>
                </w:txbxContent>
              </v:textbox>
              <w10:wrap type="square"/>
            </v:rect>
          </w:pict>
        </mc:Fallback>
      </mc:AlternateContent>
      <mc:AlternateContent>
        <mc:Choice Requires="wps">
          <w:drawing>
            <wp:anchor behindDoc="1" distT="0" distB="0" distL="0" distR="0" simplePos="0" locked="0" layoutInCell="0" allowOverlap="1" relativeHeight="3">
              <wp:simplePos x="0" y="0"/>
              <wp:positionH relativeFrom="margin">
                <wp:align>center</wp:align>
              </wp:positionH>
              <wp:positionV relativeFrom="paragraph">
                <wp:posOffset>635</wp:posOffset>
              </wp:positionV>
              <wp:extent cx="14605" cy="14605"/>
              <wp:effectExtent l="0" t="0" r="0" b="0"/>
              <wp:wrapSquare wrapText="bothSides"/>
              <wp:docPr id="2" name="Врезка3"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14760" cy="14760"/>
                      </a:xfrm>
                      <a:prstGeom prst="rect">
                        <a:avLst/>
                      </a:prstGeom>
                      <a:noFill/>
                      <a:ln w="0">
                        <a:noFill/>
                      </a:ln>
                    </wps:spPr>
                    <wps:style>
                      <a:lnRef idx="0"/>
                      <a:fillRef idx="0"/>
                      <a:effectRef idx="0"/>
                      <a:fontRef idx="minor"/>
                    </wps:style>
                    <wps:txbx>
                      <w:txbxContent>
                        <w:p>
                          <w:pPr>
                            <w:pStyle w:val="Header"/>
                            <w:spacing w:before="0" w:after="200"/>
                            <w:rPr>
                              <w:rStyle w:val="PageNumber"/>
                            </w:rPr>
                          </w:pPr>
                          <w:r>
                            <w:rPr>
                              <w:rStyle w:val="PageNumber"/>
                              <w:color w:val="000000"/>
                            </w:rPr>
                            <w:fldChar w:fldCharType="begin"/>
                          </w:r>
                          <w:r>
                            <w:rPr>
                              <w:rStyle w:val="PageNumber"/>
                              <w:color w:val="000000"/>
                            </w:rPr>
                            <w:instrText xml:space="preserve"> PAGE </w:instrText>
                          </w:r>
                          <w:r>
                            <w:rPr>
                              <w:rStyle w:val="PageNumber"/>
                              <w:color w:val="000000"/>
                            </w:rPr>
                            <w:fldChar w:fldCharType="separate"/>
                          </w:r>
                          <w:r>
                            <w:rPr>
                              <w:rStyle w:val="PageNumber"/>
                              <w:color w:val="000000"/>
                            </w:rPr>
                            <w:t>0</w:t>
                          </w:r>
                          <w:r>
                            <w:rPr>
                              <w:rStyle w:val="PageNumber"/>
                              <w:color w:val="000000"/>
                            </w:rPr>
                            <w:fldChar w:fldCharType="end"/>
                          </w:r>
                        </w:p>
                      </w:txbxContent>
                    </wps:txbx>
                    <wps:bodyPr lIns="0" rIns="0" tIns="0" bIns="0" anchor="t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rect id="shape_0" ID="Врезка3" path="m0,0l-2147483645,0l-2147483645,-2147483646l0,-2147483646xe" stroked="f" o:allowincell="f" style="position:absolute;margin-left:0pt;margin-top:0.05pt;width:1.1pt;height:1.1pt;mso-wrap-style:square;v-text-anchor:top;mso-position-horizontal:center;mso-position-horizontal-relative:margin">
              <v:fill o:detectmouseclick="t" on="false"/>
              <v:stroke color="#3465a4" joinstyle="round" endcap="flat"/>
              <v:textbox>
                <w:txbxContent>
                  <w:p>
                    <w:pPr>
                      <w:pStyle w:val="Header"/>
                      <w:spacing w:before="0" w:after="200"/>
                      <w:rPr>
                        <w:rStyle w:val="PageNumber"/>
                      </w:rPr>
                    </w:pPr>
                    <w:r>
                      <w:rPr>
                        <w:rStyle w:val="PageNumber"/>
                        <w:color w:val="000000"/>
                      </w:rPr>
                      <w:fldChar w:fldCharType="begin"/>
                    </w:r>
                    <w:r>
                      <w:rPr>
                        <w:rStyle w:val="PageNumber"/>
                        <w:color w:val="000000"/>
                      </w:rPr>
                      <w:instrText xml:space="preserve"> PAGE </w:instrText>
                    </w:r>
                    <w:r>
                      <w:rPr>
                        <w:rStyle w:val="PageNumber"/>
                        <w:color w:val="000000"/>
                      </w:rPr>
                      <w:fldChar w:fldCharType="separate"/>
                    </w:r>
                    <w:r>
                      <w:rPr>
                        <w:rStyle w:val="PageNumber"/>
                        <w:color w:val="000000"/>
                      </w:rPr>
                      <w:t>0</w:t>
                    </w:r>
                    <w:r>
                      <w:rPr>
                        <w:rStyle w:val="PageNumber"/>
                        <w:color w:val="000000"/>
                      </w:rPr>
                      <w:fldChar w:fldCharType="end"/>
                    </w:r>
                  </w:p>
                </w:txbxContent>
              </v:textbox>
              <w10:wrap type="square"/>
            </v:rect>
          </w:pict>
        </mc:Fallback>
      </mc:AlternateContent>
    </w:r>
  </w:p>
</w:hdr>
</file>

<file path=word/header2.xml><?xml version="1.0" encoding="utf-8"?>
<w:hd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p>
    <w:pPr>
      <w:pStyle w:val="Header"/>
      <w:spacing w:before="0" w:after="200"/>
      <w:rPr/>
    </w:pPr>
    <w:r>
      <w:rPr/>
      <mc:AlternateContent>
        <mc:Choice Requires="wps">
          <w:drawing>
            <wp:anchor behindDoc="1" distT="0" distB="0" distL="0" distR="0" simplePos="0" locked="0" layoutInCell="0" allowOverlap="1" relativeHeight="34">
              <wp:simplePos x="0" y="0"/>
              <wp:positionH relativeFrom="margin">
                <wp:posOffset>4490720</wp:posOffset>
              </wp:positionH>
              <wp:positionV relativeFrom="paragraph">
                <wp:posOffset>635</wp:posOffset>
              </wp:positionV>
              <wp:extent cx="145415" cy="169545"/>
              <wp:effectExtent l="0" t="0" r="0" b="0"/>
              <wp:wrapSquare wrapText="bothSides"/>
              <wp:docPr id="3" name="Врезка1"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145440" cy="169560"/>
                      </a:xfrm>
                      <a:prstGeom prst="rect">
                        <a:avLst/>
                      </a:prstGeom>
                      <a:noFill/>
                      <a:ln w="0">
                        <a:noFill/>
                      </a:ln>
                    </wps:spPr>
                    <wps:style>
                      <a:lnRef idx="0"/>
                      <a:fillRef idx="0"/>
                      <a:effectRef idx="0"/>
                      <a:fontRef idx="minor"/>
                    </wps:style>
                    <wps:txbx>
                      <w:txbxContent>
                        <w:p>
                          <w:pPr>
                            <w:pStyle w:val="Header"/>
                            <w:spacing w:before="0" w:after="200"/>
                            <w:rPr>
                              <w:rStyle w:val="PageNumber"/>
                            </w:rPr>
                          </w:pPr>
                          <w:r>
                            <w:rPr>
                              <w:rStyle w:val="PageNumber"/>
                              <w:color w:val="000000"/>
                            </w:rPr>
                            <w:fldChar w:fldCharType="begin"/>
                          </w:r>
                          <w:r>
                            <w:rPr>
                              <w:rStyle w:val="PageNumber"/>
                              <w:color w:val="000000"/>
                            </w:rPr>
                            <w:instrText xml:space="preserve"> PAGE </w:instrText>
                          </w:r>
                          <w:r>
                            <w:rPr>
                              <w:rStyle w:val="PageNumber"/>
                              <w:color w:val="000000"/>
                            </w:rPr>
                            <w:fldChar w:fldCharType="separate"/>
                          </w:r>
                          <w:r>
                            <w:rPr>
                              <w:rStyle w:val="PageNumber"/>
                              <w:color w:val="000000"/>
                            </w:rPr>
                            <w:t>17</w:t>
                          </w:r>
                          <w:r>
                            <w:rPr>
                              <w:rStyle w:val="PageNumber"/>
                              <w:color w:val="000000"/>
                            </w:rPr>
                            <w:fldChar w:fldCharType="end"/>
                          </w:r>
                        </w:p>
                      </w:txbxContent>
                    </wps:txbx>
                    <wps:bodyPr lIns="0" rIns="0" tIns="0" bIns="0" anchor="t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rect id="shape_0" ID="Врезка1" path="m0,0l-2147483645,0l-2147483645,-2147483646l0,-2147483646xe" stroked="f" o:allowincell="f" style="position:absolute;margin-left:353.6pt;margin-top:0.05pt;width:11.4pt;height:13.3pt;mso-wrap-style:square;v-text-anchor:top;mso-position-horizontal-relative:margin">
              <v:fill o:detectmouseclick="t" on="false"/>
              <v:stroke color="#3465a4" joinstyle="round" endcap="flat"/>
              <v:textbox>
                <w:txbxContent>
                  <w:p>
                    <w:pPr>
                      <w:pStyle w:val="Header"/>
                      <w:spacing w:before="0" w:after="200"/>
                      <w:rPr>
                        <w:rStyle w:val="PageNumber"/>
                      </w:rPr>
                    </w:pPr>
                    <w:r>
                      <w:rPr>
                        <w:rStyle w:val="PageNumber"/>
                        <w:color w:val="000000"/>
                      </w:rPr>
                      <w:fldChar w:fldCharType="begin"/>
                    </w:r>
                    <w:r>
                      <w:rPr>
                        <w:rStyle w:val="PageNumber"/>
                        <w:color w:val="000000"/>
                      </w:rPr>
                      <w:instrText xml:space="preserve"> PAGE </w:instrText>
                    </w:r>
                    <w:r>
                      <w:rPr>
                        <w:rStyle w:val="PageNumber"/>
                        <w:color w:val="000000"/>
                      </w:rPr>
                      <w:fldChar w:fldCharType="separate"/>
                    </w:r>
                    <w:r>
                      <w:rPr>
                        <w:rStyle w:val="PageNumber"/>
                        <w:color w:val="000000"/>
                      </w:rPr>
                      <w:t>17</w:t>
                    </w:r>
                    <w:r>
                      <w:rPr>
                        <w:rStyle w:val="PageNumber"/>
                        <w:color w:val="000000"/>
                      </w:rPr>
                      <w:fldChar w:fldCharType="end"/>
                    </w:r>
                  </w:p>
                </w:txbxContent>
              </v:textbox>
              <w10:wrap type="square"/>
            </v:rect>
          </w:pict>
        </mc:Fallback>
      </mc:AlternateContent>
    </w:r>
  </w:p>
</w:hdr>
</file>

<file path=word/numbering.xml><?xml version="1.0" encoding="utf-8"?>
<w:numbering xmlns:w="http://schemas.openxmlformats.org/wordprocessingml/2006/main" xmlns:o="urn:schemas-microsoft-com:office:office" xmlns:r="http://schemas.openxmlformats.org/officeDocument/2006/relationships" xmlns:v="urn:schemas-microsoft-com:vml" xmlns:mc="http://schemas.openxmlformats.org/markup-compatibility/2006" xmlns:w14="http://schemas.microsoft.com/office/word/2010/wordml" mc:Ignorable="w14">
  <w:abstractNum w:abstractNumId="1"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/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  <w:rPr/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  <w:rPr/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  <w:rPr/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  <w:rPr/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  <w:rPr/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  <w:rPr/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  <w:rPr/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  <w:rPr/>
    </w:lvl>
  </w:abstractNum>
  <w:abstractNum w:abstractNumId="2"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</w:abstractNum>
  <w:num w:numId="1">
    <w:abstractNumId w:val="1"/>
  </w:num>
  <w:num w:numId="2">
    <w:abstractNumId w:val="2"/>
  </w:num>
</w:numbering>
</file>

<file path=word/settings.xml><?xml version="1.0" encoding="utf-8"?>
<w:settings xmlns:w="http://schemas.openxmlformats.org/wordprocessingml/2006/main">
  <w:zoom w:percent="85"/>
  <w:defaultTabStop w:val="708"/>
  <w:autoHyphenation w:val="true"/>
  <w:compat>
    <w:compatSetting w:name="compatibilityMode" w:uri="http://schemas.microsoft.com/office/word" w:val="11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themeFontLang w:val="en-US" w:eastAsia="zh-CN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Times New Roman" w:hAnsi="Times New Roman" w:eastAsia="Tahoma" w:cs="Noto Sans Devanagari"/>
        <w:lang w:val="ru-RU" w:eastAsia="zh-CN" w:bidi="ar-SA"/>
      </w:rPr>
    </w:rPrDefault>
    <w:pPrDefault>
      <w:pPr>
        <w:suppressAutoHyphens w:val="true"/>
      </w:pPr>
    </w:pPrDefault>
  </w:docDefaults>
  <w:latentStyles w:defLockedState="0" w:defUIPriority="99" w:defSemiHidden="1" w:defUnhideWhenUsed="1" w:defQFormat="0" w:count="267">
    <w:lsdException w:name="Normal" w:uiPriority="0" w:semiHidden="0" w:unhideWhenUsed="0" w:qFormat="1"/>
    <w:lsdException w:name="heading 1" w:uiPriority="9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uiPriority="10" w:semiHidden="0" w:unhideWhenUsed="0" w:qFormat="1"/>
    <w:lsdException w:name="Default Paragraph Font" w:uiPriority="1"/>
    <w:lsdException w:name="Subtitle" w:uiPriority="11" w:semiHidden="0" w:unhideWhenUsed="0" w:qFormat="1"/>
    <w:lsdException w:name="Strong" w:uiPriority="22" w:semiHidden="0" w:unhideWhenUsed="0" w:qFormat="1"/>
    <w:lsdException w:name="Emphasis" w:uiPriority="20" w:semiHidden="0" w:unhideWhenUsed="0" w:qFormat="1"/>
    <w:lsdException w:name="Table Grid" w:uiPriority="59" w:semiHidden="0" w:unhideWhenUsed="0"/>
    <w:lsdException w:name="Placeholder Text" w:unhideWhenUsed="0"/>
    <w:lsdException w:name="No Spacing" w:uiPriority="1" w:semiHidden="0" w:unhideWhenUsed="0" w:qFormat="1"/>
    <w:lsdException w:name="Light Shading" w:uiPriority="60" w:semiHidden="0" w:unhideWhenUsed="0"/>
    <w:lsdException w:name="Light List" w:uiPriority="61" w:semiHidden="0" w:unhideWhenUsed="0"/>
    <w:lsdException w:name="Light Grid" w:uiPriority="62" w:semiHidden="0" w:unhideWhenUsed="0"/>
    <w:lsdException w:name="Medium Shading 1" w:uiPriority="63" w:semiHidden="0" w:unhideWhenUsed="0"/>
    <w:lsdException w:name="Medium Shading 2" w:uiPriority="64" w:semiHidden="0" w:unhideWhenUsed="0"/>
    <w:lsdException w:name="Medium List 1" w:uiPriority="65" w:semiHidden="0" w:unhideWhenUsed="0"/>
    <w:lsdException w:name="Medium List 2" w:uiPriority="66" w:semiHidden="0" w:unhideWhenUsed="0"/>
    <w:lsdException w:name="Medium Grid 1" w:uiPriority="67" w:semiHidden="0" w:unhideWhenUsed="0"/>
    <w:lsdException w:name="Medium Grid 2" w:uiPriority="68" w:semiHidden="0" w:unhideWhenUsed="0"/>
    <w:lsdException w:name="Medium Grid 3" w:uiPriority="69" w:semiHidden="0" w:unhideWhenUsed="0"/>
    <w:lsdException w:name="Dark List" w:uiPriority="70" w:semiHidden="0" w:unhideWhenUsed="0"/>
    <w:lsdException w:name="Colorful Shading" w:uiPriority="71" w:semiHidden="0" w:unhideWhenUsed="0"/>
    <w:lsdException w:name="Colorful List" w:uiPriority="72" w:semiHidden="0" w:unhideWhenUsed="0"/>
    <w:lsdException w:name="Colorful Grid" w:uiPriority="73" w:semiHidden="0" w:unhideWhenUsed="0"/>
    <w:lsdException w:name="Light Shading Accent 1" w:uiPriority="60" w:semiHidden="0" w:unhideWhenUsed="0"/>
    <w:lsdException w:name="Light List Accent 1" w:uiPriority="61" w:semiHidden="0" w:unhideWhenUsed="0"/>
    <w:lsdException w:name="Light Grid Accent 1" w:uiPriority="62" w:semiHidden="0" w:unhideWhenUsed="0"/>
    <w:lsdException w:name="Medium Shading 1 Accent 1" w:uiPriority="63" w:semiHidden="0" w:unhideWhenUsed="0"/>
    <w:lsdException w:name="Medium Shading 2 Accent 1" w:uiPriority="64" w:semiHidden="0" w:unhideWhenUsed="0"/>
    <w:lsdException w:name="Medium List 1 Accent 1" w:uiPriority="65" w:semiHidden="0" w:unhideWhenUsed="0"/>
    <w:lsdException w:name="Revision" w:unhideWhenUsed="0"/>
    <w:lsdException w:name="List Paragraph" w:uiPriority="34" w:semiHidden="0" w:unhideWhenUsed="0" w:qFormat="1"/>
    <w:lsdException w:name="Quote" w:uiPriority="29" w:semiHidden="0" w:unhideWhenUsed="0" w:qFormat="1"/>
    <w:lsdException w:name="Intense Quote" w:uiPriority="30" w:semiHidden="0" w:unhideWhenUsed="0" w:qFormat="1"/>
    <w:lsdException w:name="Medium List 2 Accent 1" w:uiPriority="66" w:semiHidden="0" w:unhideWhenUsed="0"/>
    <w:lsdException w:name="Medium Grid 1 Accent 1" w:uiPriority="67" w:semiHidden="0" w:unhideWhenUsed="0"/>
    <w:lsdException w:name="Medium Grid 2 Accent 1" w:uiPriority="68" w:semiHidden="0" w:unhideWhenUsed="0"/>
    <w:lsdException w:name="Medium Grid 3 Accent 1" w:uiPriority="69" w:semiHidden="0" w:unhideWhenUsed="0"/>
    <w:lsdException w:name="Dark List Accent 1" w:uiPriority="70" w:semiHidden="0" w:unhideWhenUsed="0"/>
    <w:lsdException w:name="Colorful Shading Accent 1" w:uiPriority="71" w:semiHidden="0" w:unhideWhenUsed="0"/>
    <w:lsdException w:name="Colorful List Accent 1" w:uiPriority="72" w:semiHidden="0" w:unhideWhenUsed="0"/>
    <w:lsdException w:name="Colorful Grid Accent 1" w:uiPriority="73" w:semiHidden="0" w:unhideWhenUsed="0"/>
    <w:lsdException w:name="Light Shading Accent 2" w:uiPriority="60" w:semiHidden="0" w:unhideWhenUsed="0"/>
    <w:lsdException w:name="Light List Accent 2" w:uiPriority="61" w:semiHidden="0" w:unhideWhenUsed="0"/>
    <w:lsdException w:name="Light Grid Accent 2" w:uiPriority="62" w:semiHidden="0" w:unhideWhenUsed="0"/>
    <w:lsdException w:name="Medium Shading 1 Accent 2" w:uiPriority="63" w:semiHidden="0" w:unhideWhenUsed="0"/>
    <w:lsdException w:name="Medium Shading 2 Accent 2" w:uiPriority="64" w:semiHidden="0" w:unhideWhenUsed="0"/>
    <w:lsdException w:name="Medium List 1 Accent 2" w:uiPriority="65" w:semiHidden="0" w:unhideWhenUsed="0"/>
    <w:lsdException w:name="Medium List 2 Accent 2" w:uiPriority="66" w:semiHidden="0" w:unhideWhenUsed="0"/>
    <w:lsdException w:name="Medium Grid 1 Accent 2" w:uiPriority="67" w:semiHidden="0" w:unhideWhenUsed="0"/>
    <w:lsdException w:name="Medium Grid 2 Accent 2" w:uiPriority="68" w:semiHidden="0" w:unhideWhenUsed="0"/>
    <w:lsdException w:name="Medium Grid 3 Accent 2" w:uiPriority="69" w:semiHidden="0" w:unhideWhenUsed="0"/>
    <w:lsdException w:name="Dark List Accent 2" w:uiPriority="70" w:semiHidden="0" w:unhideWhenUsed="0"/>
    <w:lsdException w:name="Colorful Shading Accent 2" w:uiPriority="71" w:semiHidden="0" w:unhideWhenUsed="0"/>
    <w:lsdException w:name="Colorful List Accent 2" w:uiPriority="72" w:semiHidden="0" w:unhideWhenUsed="0"/>
    <w:lsdException w:name="Colorful Grid Accent 2" w:uiPriority="73" w:semiHidden="0" w:unhideWhenUsed="0"/>
    <w:lsdException w:name="Light Shading Accent 3" w:uiPriority="60" w:semiHidden="0" w:unhideWhenUsed="0"/>
    <w:lsdException w:name="Light List Accent 3" w:uiPriority="61" w:semiHidden="0" w:unhideWhenUsed="0"/>
    <w:lsdException w:name="Light Grid Accent 3" w:uiPriority="62" w:semiHidden="0" w:unhideWhenUsed="0"/>
    <w:lsdException w:name="Medium Shading 1 Accent 3" w:uiPriority="63" w:semiHidden="0" w:unhideWhenUsed="0"/>
    <w:lsdException w:name="Medium Shading 2 Accent 3" w:uiPriority="64" w:semiHidden="0" w:unhideWhenUsed="0"/>
    <w:lsdException w:name="Medium List 1 Accent 3" w:uiPriority="65" w:semiHidden="0" w:unhideWhenUsed="0"/>
    <w:lsdException w:name="Medium List 2 Accent 3" w:uiPriority="66" w:semiHidden="0" w:unhideWhenUsed="0"/>
    <w:lsdException w:name="Medium Grid 1 Accent 3" w:uiPriority="67" w:semiHidden="0" w:unhideWhenUsed="0"/>
    <w:lsdException w:name="Medium Grid 2 Accent 3" w:uiPriority="68" w:semiHidden="0" w:unhideWhenUsed="0"/>
    <w:lsdException w:name="Medium Grid 3 Accent 3" w:uiPriority="69" w:semiHidden="0" w:unhideWhenUsed="0"/>
    <w:lsdException w:name="Dark List Accent 3" w:uiPriority="70" w:semiHidden="0" w:unhideWhenUsed="0"/>
    <w:lsdException w:name="Colorful Shading Accent 3" w:uiPriority="71" w:semiHidden="0" w:unhideWhenUsed="0"/>
    <w:lsdException w:name="Colorful List Accent 3" w:uiPriority="72" w:semiHidden="0" w:unhideWhenUsed="0"/>
    <w:lsdException w:name="Colorful Grid Accent 3" w:uiPriority="73" w:semiHidden="0" w:unhideWhenUsed="0"/>
    <w:lsdException w:name="Light Shading Accent 4" w:uiPriority="60" w:semiHidden="0" w:unhideWhenUsed="0"/>
    <w:lsdException w:name="Light List Accent 4" w:uiPriority="61" w:semiHidden="0" w:unhideWhenUsed="0"/>
    <w:lsdException w:name="Light Grid Accent 4" w:uiPriority="62" w:semiHidden="0" w:unhideWhenUsed="0"/>
    <w:lsdException w:name="Medium Shading 1 Accent 4" w:uiPriority="63" w:semiHidden="0" w:unhideWhenUsed="0"/>
    <w:lsdException w:name="Medium Shading 2 Accent 4" w:uiPriority="64" w:semiHidden="0" w:unhideWhenUsed="0"/>
    <w:lsdException w:name="Medium List 1 Accent 4" w:uiPriority="65" w:semiHidden="0" w:unhideWhenUsed="0"/>
    <w:lsdException w:name="Medium List 2 Accent 4" w:uiPriority="66" w:semiHidden="0" w:unhideWhenUsed="0"/>
    <w:lsdException w:name="Medium Grid 1 Accent 4" w:uiPriority="67" w:semiHidden="0" w:unhideWhenUsed="0"/>
    <w:lsdException w:name="Medium Grid 2 Accent 4" w:uiPriority="68" w:semiHidden="0" w:unhideWhenUsed="0"/>
    <w:lsdException w:name="Medium Grid 3 Accent 4" w:uiPriority="69" w:semiHidden="0" w:unhideWhenUsed="0"/>
    <w:lsdException w:name="Dark List Accent 4" w:uiPriority="70" w:semiHidden="0" w:unhideWhenUsed="0"/>
    <w:lsdException w:name="Colorful Shading Accent 4" w:uiPriority="71" w:semiHidden="0" w:unhideWhenUsed="0"/>
    <w:lsdException w:name="Colorful List Accent 4" w:uiPriority="72" w:semiHidden="0" w:unhideWhenUsed="0"/>
    <w:lsdException w:name="Colorful Grid Accent 4" w:uiPriority="73" w:semiHidden="0" w:unhideWhenUsed="0"/>
    <w:lsdException w:name="Light Shading Accent 5" w:uiPriority="60" w:semiHidden="0" w:unhideWhenUsed="0"/>
    <w:lsdException w:name="Light List Accent 5" w:uiPriority="61" w:semiHidden="0" w:unhideWhenUsed="0"/>
    <w:lsdException w:name="Light Grid Accent 5" w:uiPriority="62" w:semiHidden="0" w:unhideWhenUsed="0"/>
    <w:lsdException w:name="Medium Shading 1 Accent 5" w:uiPriority="63" w:semiHidden="0" w:unhideWhenUsed="0"/>
    <w:lsdException w:name="Medium Shading 2 Accent 5" w:uiPriority="64" w:semiHidden="0" w:unhideWhenUsed="0"/>
    <w:lsdException w:name="Medium List 1 Accent 5" w:uiPriority="65" w:semiHidden="0" w:unhideWhenUsed="0"/>
    <w:lsdException w:name="Medium List 2 Accent 5" w:uiPriority="66" w:semiHidden="0" w:unhideWhenUsed="0"/>
    <w:lsdException w:name="Medium Grid 1 Accent 5" w:uiPriority="67" w:semiHidden="0" w:unhideWhenUsed="0"/>
    <w:lsdException w:name="Medium Grid 2 Accent 5" w:uiPriority="68" w:semiHidden="0" w:unhideWhenUsed="0"/>
    <w:lsdException w:name="Medium Grid 3 Accent 5" w:uiPriority="69" w:semiHidden="0" w:unhideWhenUsed="0"/>
    <w:lsdException w:name="Dark List Accent 5" w:uiPriority="70" w:semiHidden="0" w:unhideWhenUsed="0"/>
    <w:lsdException w:name="Colorful Shading Accent 5" w:uiPriority="71" w:semiHidden="0" w:unhideWhenUsed="0"/>
    <w:lsdException w:name="Colorful List Accent 5" w:uiPriority="72" w:semiHidden="0" w:unhideWhenUsed="0"/>
    <w:lsdException w:name="Colorful Grid Accent 5" w:uiPriority="73" w:semiHidden="0" w:unhideWhenUsed="0"/>
    <w:lsdException w:name="Light Shading Accent 6" w:uiPriority="60" w:semiHidden="0" w:unhideWhenUsed="0"/>
    <w:lsdException w:name="Light List Accent 6" w:uiPriority="61" w:semiHidden="0" w:unhideWhenUsed="0"/>
    <w:lsdException w:name="Light Grid Accent 6" w:uiPriority="62" w:semiHidden="0" w:unhideWhenUsed="0"/>
    <w:lsdException w:name="Medium Shading 1 Accent 6" w:uiPriority="63" w:semiHidden="0" w:unhideWhenUsed="0"/>
    <w:lsdException w:name="Medium Shading 2 Accent 6" w:uiPriority="64" w:semiHidden="0" w:unhideWhenUsed="0"/>
    <w:lsdException w:name="Medium List 1 Accent 6" w:uiPriority="65" w:semiHidden="0" w:unhideWhenUsed="0"/>
    <w:lsdException w:name="Medium List 2 Accent 6" w:uiPriority="66" w:semiHidden="0" w:unhideWhenUsed="0"/>
    <w:lsdException w:name="Medium Grid 1 Accent 6" w:uiPriority="67" w:semiHidden="0" w:unhideWhenUsed="0"/>
    <w:lsdException w:name="Medium Grid 2 Accent 6" w:uiPriority="68" w:semiHidden="0" w:unhideWhenUsed="0"/>
    <w:lsdException w:name="Medium Grid 3 Accent 6" w:uiPriority="69" w:semiHidden="0" w:unhideWhenUsed="0"/>
    <w:lsdException w:name="Dark List Accent 6" w:uiPriority="70" w:semiHidden="0" w:unhideWhenUsed="0"/>
    <w:lsdException w:name="Colorful Shading Accent 6" w:uiPriority="71" w:semiHidden="0" w:unhideWhenUsed="0"/>
    <w:lsdException w:name="Colorful List Accent 6" w:uiPriority="72" w:semiHidden="0" w:unhideWhenUsed="0"/>
    <w:lsdException w:name="Colorful Grid Accent 6" w:uiPriority="73" w:semiHidden="0" w:unhideWhenUsed="0"/>
    <w:lsdException w:name="Subtle Emphasis" w:uiPriority="19" w:semiHidden="0" w:unhideWhenUsed="0" w:qFormat="1"/>
    <w:lsdException w:name="Intense Emphasis" w:uiPriority="21" w:semiHidden="0" w:unhideWhenUsed="0" w:qFormat="1"/>
    <w:lsdException w:name="Subtle Reference" w:uiPriority="31" w:semiHidden="0" w:unhideWhenUsed="0" w:qFormat="1"/>
    <w:lsdException w:name="Intense Reference" w:uiPriority="32" w:semiHidden="0" w:unhideWhenUsed="0" w:qFormat="1"/>
    <w:lsdException w:name="Book Title" w:uiPriority="33" w:semiHidden="0" w:unhideWhenUsed="0" w:qFormat="1"/>
    <w:lsdException w:name="Bibliography" w:uiPriority="37"/>
    <w:lsdException w:name="TOC Heading" w:uiPriority="39" w:qFormat="1"/>
  </w:latentStyles>
  <w:style w:type="paragraph" w:styleId="Normal" w:default="1">
    <w:name w:val="Normal"/>
    <w:qFormat/>
    <w:pPr>
      <w:widowControl/>
      <w:suppressAutoHyphens w:val="true"/>
      <w:bidi w:val="0"/>
      <w:spacing w:lineRule="auto" w:line="276" w:before="0" w:after="200"/>
      <w:jc w:val="left"/>
    </w:pPr>
    <w:rPr>
      <w:rFonts w:ascii="Calibri" w:hAnsi="Calibri" w:eastAsia="Tahoma" w:cs="Noto Sans Devanagari"/>
      <w:color w:val="auto"/>
      <w:kern w:val="0"/>
      <w:sz w:val="22"/>
      <w:szCs w:val="22"/>
      <w:lang w:val="ru-RU" w:eastAsia="en-US" w:bidi="ar-SA"/>
    </w:rPr>
  </w:style>
  <w:style w:type="paragraph" w:styleId="Heading1">
    <w:name w:val="Heading 1"/>
    <w:basedOn w:val="Normal"/>
    <w:qFormat/>
    <w:pPr>
      <w:spacing w:lineRule="auto" w:line="240" w:beforeAutospacing="1" w:afterAutospacing="1"/>
      <w:outlineLvl w:val="0"/>
    </w:pPr>
    <w:rPr>
      <w:rFonts w:ascii="Times New Roman" w:hAnsi="Times New Roman"/>
      <w:b/>
      <w:bCs/>
      <w:sz w:val="48"/>
      <w:szCs w:val="48"/>
      <w:lang w:eastAsia="ru-RU"/>
    </w:rPr>
  </w:style>
  <w:style w:type="paragraph" w:styleId="Heading2">
    <w:name w:val="Heading 2"/>
    <w:basedOn w:val="Normal"/>
    <w:uiPriority w:val="9"/>
    <w:unhideWhenUsed/>
    <w:qFormat/>
    <w:pPr>
      <w:keepNext w:val="true"/>
      <w:keepLines/>
      <w:spacing w:before="360" w:after="200"/>
      <w:outlineLvl w:val="1"/>
    </w:pPr>
    <w:rPr>
      <w:rFonts w:ascii="Arial" w:hAnsi="Arial" w:eastAsia="Arial" w:cs="Arial"/>
      <w:sz w:val="34"/>
    </w:rPr>
  </w:style>
  <w:style w:type="paragraph" w:styleId="Heading3">
    <w:name w:val="Heading 3"/>
    <w:basedOn w:val="Normal"/>
    <w:uiPriority w:val="9"/>
    <w:unhideWhenUsed/>
    <w:qFormat/>
    <w:pPr>
      <w:keepNext w:val="true"/>
      <w:keepLines/>
      <w:spacing w:before="320" w:after="200"/>
      <w:outlineLvl w:val="2"/>
    </w:pPr>
    <w:rPr>
      <w:rFonts w:ascii="Arial" w:hAnsi="Arial" w:eastAsia="Arial" w:cs="Arial"/>
      <w:sz w:val="30"/>
      <w:szCs w:val="30"/>
    </w:rPr>
  </w:style>
  <w:style w:type="paragraph" w:styleId="Heading4">
    <w:name w:val="Heading 4"/>
    <w:basedOn w:val="Normal"/>
    <w:uiPriority w:val="9"/>
    <w:unhideWhenUsed/>
    <w:qFormat/>
    <w:pPr>
      <w:keepNext w:val="true"/>
      <w:keepLines/>
      <w:spacing w:before="320" w:after="200"/>
      <w:outlineLvl w:val="3"/>
    </w:pPr>
    <w:rPr>
      <w:rFonts w:ascii="Arial" w:hAnsi="Arial" w:eastAsia="Arial" w:cs="Arial"/>
      <w:b/>
      <w:bCs/>
      <w:sz w:val="26"/>
      <w:szCs w:val="26"/>
    </w:rPr>
  </w:style>
  <w:style w:type="paragraph" w:styleId="Heading5">
    <w:name w:val="Heading 5"/>
    <w:basedOn w:val="Normal"/>
    <w:uiPriority w:val="9"/>
    <w:unhideWhenUsed/>
    <w:qFormat/>
    <w:pPr>
      <w:keepNext w:val="true"/>
      <w:keepLines/>
      <w:spacing w:before="320" w:after="200"/>
      <w:outlineLvl w:val="4"/>
    </w:pPr>
    <w:rPr>
      <w:rFonts w:ascii="Arial" w:hAnsi="Arial" w:eastAsia="Arial" w:cs="Arial"/>
      <w:b/>
      <w:bCs/>
      <w:sz w:val="24"/>
      <w:szCs w:val="24"/>
    </w:rPr>
  </w:style>
  <w:style w:type="paragraph" w:styleId="Heading6">
    <w:name w:val="Heading 6"/>
    <w:basedOn w:val="Normal"/>
    <w:uiPriority w:val="9"/>
    <w:unhideWhenUsed/>
    <w:qFormat/>
    <w:pPr>
      <w:keepNext w:val="true"/>
      <w:keepLines/>
      <w:spacing w:before="320" w:after="200"/>
      <w:outlineLvl w:val="5"/>
    </w:pPr>
    <w:rPr>
      <w:rFonts w:ascii="Arial" w:hAnsi="Arial" w:eastAsia="Arial" w:cs="Arial"/>
      <w:b/>
      <w:bCs/>
      <w:sz w:val="22"/>
      <w:szCs w:val="22"/>
    </w:rPr>
  </w:style>
  <w:style w:type="paragraph" w:styleId="Heading7">
    <w:name w:val="Heading 7"/>
    <w:basedOn w:val="Normal"/>
    <w:uiPriority w:val="9"/>
    <w:unhideWhenUsed/>
    <w:qFormat/>
    <w:pPr>
      <w:keepNext w:val="true"/>
      <w:keepLines/>
      <w:spacing w:before="320" w:after="200"/>
      <w:outlineLvl w:val="6"/>
    </w:pPr>
    <w:rPr>
      <w:rFonts w:ascii="Arial" w:hAnsi="Arial" w:eastAsia="Arial" w:cs="Arial"/>
      <w:b/>
      <w:bCs/>
      <w:i/>
      <w:iCs/>
      <w:sz w:val="22"/>
      <w:szCs w:val="22"/>
    </w:rPr>
  </w:style>
  <w:style w:type="paragraph" w:styleId="Heading8">
    <w:name w:val="Heading 8"/>
    <w:basedOn w:val="Normal"/>
    <w:uiPriority w:val="9"/>
    <w:unhideWhenUsed/>
    <w:qFormat/>
    <w:pPr>
      <w:keepNext w:val="true"/>
      <w:keepLines/>
      <w:spacing w:before="320" w:after="200"/>
      <w:outlineLvl w:val="7"/>
    </w:pPr>
    <w:rPr>
      <w:rFonts w:ascii="Arial" w:hAnsi="Arial" w:eastAsia="Arial" w:cs="Arial"/>
      <w:i/>
      <w:iCs/>
      <w:sz w:val="22"/>
      <w:szCs w:val="22"/>
    </w:rPr>
  </w:style>
  <w:style w:type="paragraph" w:styleId="Heading9">
    <w:name w:val="Heading 9"/>
    <w:basedOn w:val="Normal"/>
    <w:uiPriority w:val="9"/>
    <w:unhideWhenUsed/>
    <w:qFormat/>
    <w:pPr>
      <w:keepNext w:val="true"/>
      <w:keepLines/>
      <w:spacing w:before="320" w:after="200"/>
      <w:outlineLvl w:val="8"/>
    </w:pPr>
    <w:rPr>
      <w:rFonts w:ascii="Arial" w:hAnsi="Arial" w:eastAsia="Arial" w:cs="Arial"/>
      <w:i/>
      <w:iCs/>
      <w:sz w:val="21"/>
      <w:szCs w:val="21"/>
    </w:rPr>
  </w:style>
  <w:style w:type="character" w:styleId="Heading2Char">
    <w:name w:val="Heading 2 Char"/>
    <w:uiPriority w:val="9"/>
    <w:qFormat/>
    <w:rPr>
      <w:rFonts w:ascii="Arial" w:hAnsi="Arial" w:eastAsia="Arial" w:cs="Arial"/>
      <w:sz w:val="34"/>
    </w:rPr>
  </w:style>
  <w:style w:type="character" w:styleId="Heading3Char">
    <w:name w:val="Heading 3 Char"/>
    <w:uiPriority w:val="9"/>
    <w:qFormat/>
    <w:rPr>
      <w:rFonts w:ascii="Arial" w:hAnsi="Arial" w:eastAsia="Arial" w:cs="Arial"/>
      <w:sz w:val="30"/>
      <w:szCs w:val="30"/>
    </w:rPr>
  </w:style>
  <w:style w:type="character" w:styleId="Heading4Char">
    <w:name w:val="Heading 4 Char"/>
    <w:uiPriority w:val="9"/>
    <w:qFormat/>
    <w:rPr>
      <w:rFonts w:ascii="Arial" w:hAnsi="Arial" w:eastAsia="Arial" w:cs="Arial"/>
      <w:b/>
      <w:bCs/>
      <w:sz w:val="26"/>
      <w:szCs w:val="26"/>
    </w:rPr>
  </w:style>
  <w:style w:type="character" w:styleId="Heading5Char">
    <w:name w:val="Heading 5 Char"/>
    <w:uiPriority w:val="9"/>
    <w:qFormat/>
    <w:rPr>
      <w:rFonts w:ascii="Arial" w:hAnsi="Arial" w:eastAsia="Arial" w:cs="Arial"/>
      <w:b/>
      <w:bCs/>
      <w:sz w:val="24"/>
      <w:szCs w:val="24"/>
    </w:rPr>
  </w:style>
  <w:style w:type="character" w:styleId="Heading6Char">
    <w:name w:val="Heading 6 Char"/>
    <w:uiPriority w:val="9"/>
    <w:qFormat/>
    <w:rPr>
      <w:rFonts w:ascii="Arial" w:hAnsi="Arial" w:eastAsia="Arial" w:cs="Arial"/>
      <w:b/>
      <w:bCs/>
      <w:sz w:val="22"/>
      <w:szCs w:val="22"/>
    </w:rPr>
  </w:style>
  <w:style w:type="character" w:styleId="Heading7Char">
    <w:name w:val="Heading 7 Char"/>
    <w:uiPriority w:val="9"/>
    <w:qFormat/>
    <w:rPr>
      <w:rFonts w:ascii="Arial" w:hAnsi="Arial" w:eastAsia="Arial" w:cs="Arial"/>
      <w:b/>
      <w:bCs/>
      <w:i/>
      <w:iCs/>
      <w:sz w:val="22"/>
      <w:szCs w:val="22"/>
    </w:rPr>
  </w:style>
  <w:style w:type="character" w:styleId="Heading8Char">
    <w:name w:val="Heading 8 Char"/>
    <w:uiPriority w:val="9"/>
    <w:qFormat/>
    <w:rPr>
      <w:rFonts w:ascii="Arial" w:hAnsi="Arial" w:eastAsia="Arial" w:cs="Arial"/>
      <w:i/>
      <w:iCs/>
      <w:sz w:val="22"/>
      <w:szCs w:val="22"/>
    </w:rPr>
  </w:style>
  <w:style w:type="character" w:styleId="Heading9Char">
    <w:name w:val="Heading 9 Char"/>
    <w:uiPriority w:val="9"/>
    <w:qFormat/>
    <w:rPr>
      <w:rFonts w:ascii="Arial" w:hAnsi="Arial" w:eastAsia="Arial" w:cs="Arial"/>
      <w:i/>
      <w:iCs/>
      <w:sz w:val="21"/>
      <w:szCs w:val="21"/>
    </w:rPr>
  </w:style>
  <w:style w:type="character" w:styleId="TitleChar">
    <w:name w:val="Title Char"/>
    <w:uiPriority w:val="10"/>
    <w:qFormat/>
    <w:rPr>
      <w:sz w:val="48"/>
      <w:szCs w:val="48"/>
    </w:rPr>
  </w:style>
  <w:style w:type="character" w:styleId="SubtitleChar">
    <w:name w:val="Subtitle Char"/>
    <w:uiPriority w:val="11"/>
    <w:qFormat/>
    <w:rPr>
      <w:sz w:val="24"/>
      <w:szCs w:val="24"/>
    </w:rPr>
  </w:style>
  <w:style w:type="character" w:styleId="QuoteChar">
    <w:name w:val="Quote Char"/>
    <w:uiPriority w:val="29"/>
    <w:qFormat/>
    <w:rPr>
      <w:i/>
    </w:rPr>
  </w:style>
  <w:style w:type="character" w:styleId="IntenseQuoteChar">
    <w:name w:val="Intense Quote Char"/>
    <w:uiPriority w:val="30"/>
    <w:qFormat/>
    <w:rPr>
      <w:i/>
    </w:rPr>
  </w:style>
  <w:style w:type="character" w:styleId="HeaderChar">
    <w:name w:val="Header Char"/>
    <w:uiPriority w:val="99"/>
    <w:qFormat/>
    <w:rPr/>
  </w:style>
  <w:style w:type="character" w:styleId="FooterChar">
    <w:name w:val="Footer Char"/>
    <w:uiPriority w:val="99"/>
    <w:qFormat/>
    <w:rPr/>
  </w:style>
  <w:style w:type="character" w:styleId="CaptionChar">
    <w:name w:val="Caption Char"/>
    <w:uiPriority w:val="99"/>
    <w:qFormat/>
    <w:rPr/>
  </w:style>
  <w:style w:type="character" w:styleId="Hyperlink">
    <w:name w:val="Hyperlink"/>
    <w:uiPriority w:val="99"/>
    <w:unhideWhenUsed/>
    <w:rPr>
      <w:color w:themeColor="hyperlink" w:val="0000FF"/>
      <w:u w:val="single"/>
    </w:rPr>
  </w:style>
  <w:style w:type="character" w:styleId="FootnoteTextChar">
    <w:name w:val="Footnote Text Char"/>
    <w:uiPriority w:val="99"/>
    <w:qFormat/>
    <w:rPr>
      <w:sz w:val="18"/>
    </w:rPr>
  </w:style>
  <w:style w:type="character" w:styleId="Style5">
    <w:name w:val="Символ сноски"/>
    <w:uiPriority w:val="99"/>
    <w:unhideWhenUsed/>
    <w:qFormat/>
    <w:rPr>
      <w:vertAlign w:val="superscript"/>
    </w:rPr>
  </w:style>
  <w:style w:type="character" w:styleId="FootnoteReference">
    <w:name w:val="Footnote Reference"/>
    <w:rPr>
      <w:vertAlign w:val="superscript"/>
    </w:rPr>
  </w:style>
  <w:style w:type="character" w:styleId="EndnoteTextChar">
    <w:name w:val="Endnote Text Char"/>
    <w:uiPriority w:val="99"/>
    <w:qFormat/>
    <w:rPr>
      <w:sz w:val="20"/>
    </w:rPr>
  </w:style>
  <w:style w:type="character" w:styleId="Style6">
    <w:name w:val="Символ концевой сноски"/>
    <w:uiPriority w:val="99"/>
    <w:semiHidden/>
    <w:unhideWhenUsed/>
    <w:qFormat/>
    <w:rPr>
      <w:vertAlign w:val="superscript"/>
    </w:rPr>
  </w:style>
  <w:style w:type="character" w:styleId="EndnoteReference">
    <w:name w:val="Endnote Reference"/>
    <w:rPr>
      <w:vertAlign w:val="superscript"/>
    </w:rPr>
  </w:style>
  <w:style w:type="character" w:styleId="1">
    <w:name w:val="Основной шрифт абзаца, Знак Знак1"/>
    <w:semiHidden/>
    <w:qFormat/>
    <w:rPr/>
  </w:style>
  <w:style w:type="character" w:styleId="Style7">
    <w:name w:val="Строгий"/>
    <w:uiPriority w:val="22"/>
    <w:qFormat/>
    <w:rPr>
      <w:b/>
      <w:bCs/>
    </w:rPr>
  </w:style>
  <w:style w:type="character" w:styleId="St">
    <w:name w:val="st"/>
    <w:basedOn w:val="1"/>
    <w:qFormat/>
    <w:rPr/>
  </w:style>
  <w:style w:type="character" w:styleId="Style8">
    <w:name w:val="Гиперссылка"/>
    <w:uiPriority w:val="99"/>
    <w:unhideWhenUsed/>
    <w:qFormat/>
    <w:rPr>
      <w:color w:val="333333"/>
      <w:u w:val="none"/>
    </w:rPr>
  </w:style>
  <w:style w:type="character" w:styleId="Style9">
    <w:name w:val="Текст выноски Знак"/>
    <w:qFormat/>
    <w:rPr>
      <w:rFonts w:ascii="Tahoma" w:hAnsi="Tahoma" w:cs="Tahoma"/>
      <w:sz w:val="16"/>
      <w:szCs w:val="16"/>
      <w:lang w:eastAsia="en-US"/>
    </w:rPr>
  </w:style>
  <w:style w:type="character" w:styleId="B-forumtext">
    <w:name w:val="b-forum__text"/>
    <w:qFormat/>
    <w:rPr/>
  </w:style>
  <w:style w:type="character" w:styleId="PageNumber">
    <w:name w:val="Page Number"/>
    <w:basedOn w:val="1"/>
    <w:rPr/>
  </w:style>
  <w:style w:type="character" w:styleId="11">
    <w:name w:val="Заголовок 1 Знак"/>
    <w:qFormat/>
    <w:rPr>
      <w:b/>
      <w:bCs/>
      <w:sz w:val="48"/>
      <w:szCs w:val="48"/>
      <w:lang w:val="ru-RU" w:eastAsia="ru-RU" w:bidi="ar-SA"/>
    </w:rPr>
  </w:style>
  <w:style w:type="character" w:styleId="12">
    <w:name w:val="Знак Знак1"/>
    <w:qFormat/>
    <w:rPr>
      <w:b/>
      <w:bCs/>
      <w:sz w:val="48"/>
      <w:szCs w:val="48"/>
      <w:lang w:val="ru-RU" w:eastAsia="ru-RU" w:bidi="ar-SA"/>
    </w:rPr>
  </w:style>
  <w:style w:type="character" w:styleId="Apple-converted-space">
    <w:name w:val="apple-converted-space"/>
    <w:basedOn w:val="1"/>
    <w:qFormat/>
    <w:rPr/>
  </w:style>
  <w:style w:type="character" w:styleId="2">
    <w:name w:val=" Знак Знак2"/>
    <w:qFormat/>
    <w:rPr>
      <w:b/>
      <w:bCs/>
      <w:sz w:val="48"/>
      <w:szCs w:val="48"/>
    </w:rPr>
  </w:style>
  <w:style w:type="character" w:styleId="Heading1Char">
    <w:name w:val="Heading 1 Char"/>
    <w:qFormat/>
    <w:rPr>
      <w:rFonts w:ascii="Cambria" w:hAnsi="Cambria" w:cs="Times New Roman"/>
      <w:b/>
      <w:bCs/>
      <w:color w:val="365F91"/>
      <w:sz w:val="28"/>
      <w:szCs w:val="28"/>
      <w:lang w:val="en-US" w:eastAsia="ru-RU"/>
    </w:rPr>
  </w:style>
  <w:style w:type="character" w:styleId="HTML">
    <w:name w:val="Код HTML"/>
    <w:qFormat/>
    <w:rPr>
      <w:rFonts w:ascii="Arial Unicode MS" w:hAnsi="Arial Unicode MS" w:eastAsia="Arial Unicode MS" w:cs="Arial Unicode MS"/>
      <w:sz w:val="20"/>
      <w:szCs w:val="20"/>
    </w:rPr>
  </w:style>
  <w:style w:type="character" w:styleId="Style10">
    <w:name w:val="Выделение"/>
    <w:uiPriority w:val="20"/>
    <w:qFormat/>
    <w:rPr>
      <w:i/>
      <w:iCs/>
    </w:rPr>
  </w:style>
  <w:style w:type="character" w:styleId="Hospitalshowfoto">
    <w:name w:val="hospitalshowfoto"/>
    <w:qFormat/>
    <w:rPr/>
  </w:style>
  <w:style w:type="character" w:styleId="Style11">
    <w:name w:val="Просмотренная гиперссылка"/>
    <w:qFormat/>
    <w:rPr>
      <w:color w:val="800080"/>
      <w:u w:val="single"/>
    </w:rPr>
  </w:style>
  <w:style w:type="character" w:styleId="21">
    <w:name w:val="Основной текст (2)_"/>
    <w:qFormat/>
    <w:rPr>
      <w:sz w:val="22"/>
      <w:szCs w:val="22"/>
      <w:shd w:fill="FFFFFF" w:val="clear"/>
    </w:rPr>
  </w:style>
  <w:style w:type="character" w:styleId="22">
    <w:name w:val="Основной текст (2) + Малые прописные"/>
    <w:qFormat/>
    <w:rPr>
      <w:rFonts w:ascii="Times New Roman" w:hAnsi="Times New Roman" w:cs="Times New Roman"/>
      <w:smallCaps/>
      <w:sz w:val="22"/>
      <w:szCs w:val="22"/>
      <w:u w:val="none"/>
      <w:shd w:fill="FFFFFF" w:val="clear"/>
    </w:rPr>
  </w:style>
  <w:style w:type="character" w:styleId="23">
    <w:name w:val="Основной текст (2) + Не полужирный"/>
    <w:qFormat/>
    <w:rPr>
      <w:rFonts w:ascii="Times New Roman" w:hAnsi="Times New Roman" w:cs="Times New Roman"/>
      <w:b/>
      <w:bCs/>
      <w:sz w:val="22"/>
      <w:szCs w:val="22"/>
      <w:u w:val="none"/>
      <w:shd w:fill="FFFFFF" w:val="clear"/>
    </w:rPr>
  </w:style>
  <w:style w:type="character" w:styleId="Fontstyle01">
    <w:name w:val="fontstyle01"/>
    <w:qFormat/>
    <w:rPr>
      <w:rFonts w:ascii="Times New Roman" w:hAnsi="Times New Roman" w:cs="Times New Roman"/>
      <w:color w:val="000000"/>
      <w:sz w:val="26"/>
      <w:szCs w:val="26"/>
    </w:rPr>
  </w:style>
  <w:style w:type="character" w:styleId="Style12">
    <w:name w:val="Основной текст Знак"/>
    <w:qFormat/>
    <w:rPr>
      <w:rFonts w:ascii="Calibri" w:hAnsi="Calibri"/>
      <w:sz w:val="22"/>
      <w:szCs w:val="22"/>
      <w:lang w:eastAsia="en-US"/>
    </w:rPr>
  </w:style>
  <w:style w:type="character" w:styleId="Bodytext2">
    <w:name w:val="Body text (2)_"/>
    <w:qFormat/>
    <w:rPr>
      <w:b/>
      <w:bCs/>
      <w:sz w:val="26"/>
      <w:szCs w:val="26"/>
      <w:shd w:fill="FFFFFF" w:val="clear"/>
    </w:rPr>
  </w:style>
  <w:style w:type="character" w:styleId="Bodytext2NotBold">
    <w:name w:val="Body text (2) + Not Bold"/>
    <w:qFormat/>
    <w:rPr>
      <w:rFonts w:ascii="Times New Roman" w:hAnsi="Times New Roman" w:eastAsia="Times New Roman" w:cs="Times New Roman"/>
      <w:b/>
      <w:bCs/>
      <w:color w:val="000000"/>
      <w:spacing w:val="0"/>
      <w:sz w:val="26"/>
      <w:szCs w:val="26"/>
      <w:u w:val="none"/>
      <w:lang w:val="ru-RU" w:eastAsia="ru-RU" w:bidi="ru-RU"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character" w:styleId="WW8Num5z0">
    <w:name w:val="WW8Num5z0"/>
    <w:qFormat/>
    <w:rPr/>
  </w:style>
  <w:style w:type="character" w:styleId="Emphasis">
    <w:name w:val="Emphasis"/>
    <w:basedOn w:val="DefaultParagraphFont"/>
    <w:qFormat/>
    <w:rPr>
      <w:i/>
      <w:iCs/>
    </w:rPr>
  </w:style>
  <w:style w:type="paragraph" w:styleId="Style13">
    <w:name w:val="Заголовок"/>
    <w:basedOn w:val="Normal"/>
    <w:next w:val="BodyText"/>
    <w:qFormat/>
    <w:pPr>
      <w:keepNext w:val="true"/>
      <w:spacing w:before="240" w:after="120"/>
    </w:pPr>
    <w:rPr>
      <w:rFonts w:ascii="PT Astra Serif" w:hAnsi="PT Astra Serif" w:eastAsia="Tahoma" w:cs="Noto Sans Devanagari"/>
      <w:sz w:val="28"/>
      <w:szCs w:val="28"/>
    </w:rPr>
  </w:style>
  <w:style w:type="paragraph" w:styleId="BodyText">
    <w:name w:val="Body Text"/>
    <w:basedOn w:val="Normal"/>
    <w:pPr>
      <w:spacing w:before="0" w:after="120"/>
    </w:pPr>
    <w:rPr/>
  </w:style>
  <w:style w:type="paragraph" w:styleId="List">
    <w:name w:val="List"/>
    <w:basedOn w:val="BodyText"/>
    <w:pPr/>
    <w:rPr>
      <w:rFonts w:ascii="PT Astra Serif" w:hAnsi="PT Astra Serif" w:cs="Noto Sans Devanagari"/>
    </w:rPr>
  </w:style>
  <w:style w:type="paragraph" w:styleId="Caption">
    <w:name w:val="Caption"/>
    <w:basedOn w:val="Normal"/>
    <w:qFormat/>
    <w:pPr>
      <w:spacing w:lineRule="auto" w:line="240" w:before="0" w:after="0"/>
      <w:jc w:val="center"/>
    </w:pPr>
    <w:rPr>
      <w:rFonts w:ascii="TimesET" w:hAnsi="TimesET"/>
      <w:b/>
      <w:bCs/>
      <w:sz w:val="24"/>
      <w:szCs w:val="24"/>
      <w:lang w:eastAsia="ru-RU"/>
    </w:rPr>
  </w:style>
  <w:style w:type="paragraph" w:styleId="Style14">
    <w:name w:val="Указатель"/>
    <w:basedOn w:val="Normal"/>
    <w:qFormat/>
    <w:pPr>
      <w:suppressLineNumbers/>
    </w:pPr>
    <w:rPr>
      <w:rFonts w:ascii="PT Astra Serif" w:hAnsi="PT Astra Serif" w:cs="Noto Sans Devanagari"/>
    </w:rPr>
  </w:style>
  <w:style w:type="paragraph" w:styleId="Title">
    <w:name w:val="Title"/>
    <w:basedOn w:val="Normal"/>
    <w:uiPriority w:val="10"/>
    <w:qFormat/>
    <w:pPr>
      <w:spacing w:before="300" w:after="200"/>
      <w:contextualSpacing/>
    </w:pPr>
    <w:rPr>
      <w:sz w:val="48"/>
      <w:szCs w:val="48"/>
    </w:rPr>
  </w:style>
  <w:style w:type="paragraph" w:styleId="Subtitle">
    <w:name w:val="Subtitle"/>
    <w:basedOn w:val="Normal"/>
    <w:uiPriority w:val="11"/>
    <w:qFormat/>
    <w:pPr>
      <w:spacing w:before="200" w:after="200"/>
    </w:pPr>
    <w:rPr>
      <w:sz w:val="24"/>
      <w:szCs w:val="24"/>
    </w:rPr>
  </w:style>
  <w:style w:type="paragraph" w:styleId="Quote">
    <w:name w:val="Quote"/>
    <w:basedOn w:val="Normal"/>
    <w:uiPriority w:val="29"/>
    <w:qFormat/>
    <w:pPr>
      <w:ind w:left="720" w:right="720"/>
    </w:pPr>
    <w:rPr>
      <w:i/>
    </w:rPr>
  </w:style>
  <w:style w:type="paragraph" w:styleId="IntenseQuote">
    <w:name w:val="Intense Quote"/>
    <w:basedOn w:val="Normal"/>
    <w:uiPriority w:val="30"/>
    <w:qFormat/>
    <w:pPr>
      <w:pBdr>
        <w:top w:val="single" w:sz="4" w:space="5" w:color="FFFFFF"/>
        <w:left w:val="single" w:sz="4" w:space="10" w:color="FFFFFF"/>
        <w:bottom w:val="single" w:sz="4" w:space="5" w:color="FFFFFF"/>
        <w:right w:val="single" w:sz="4" w:space="10" w:color="FFFFFF"/>
      </w:pBdr>
      <w:shd w:val="clear" w:color="auto" w:fill="F2F2F2"/>
      <w:spacing w:before="0" w:after="0"/>
      <w:ind w:left="720" w:right="720"/>
    </w:pPr>
    <w:rPr>
      <w:i/>
    </w:rPr>
  </w:style>
  <w:style w:type="paragraph" w:styleId="Style15">
    <w:name w:val="Колонтитул"/>
    <w:basedOn w:val="Normal"/>
    <w:qFormat/>
    <w:pPr/>
    <w:rPr/>
  </w:style>
  <w:style w:type="paragraph" w:styleId="Header">
    <w:name w:val="Header"/>
    <w:basedOn w:val="Normal"/>
    <w:uiPriority w:val="99"/>
    <w:unhideWhenUsed/>
    <w:pPr>
      <w:tabs>
        <w:tab w:val="clear" w:pos="708"/>
        <w:tab w:val="center" w:pos="4677" w:leader="none"/>
        <w:tab w:val="right" w:pos="9355" w:leader="none"/>
      </w:tabs>
    </w:pPr>
    <w:rPr/>
  </w:style>
  <w:style w:type="paragraph" w:styleId="Footer">
    <w:name w:val="Footer"/>
    <w:basedOn w:val="Normal"/>
    <w:uiPriority w:val="99"/>
    <w:unhideWhenUsed/>
    <w:pPr>
      <w:tabs>
        <w:tab w:val="clear" w:pos="708"/>
        <w:tab w:val="center" w:pos="7143" w:leader="none"/>
        <w:tab w:val="right" w:pos="14287" w:leader="none"/>
      </w:tabs>
      <w:spacing w:lineRule="auto" w:line="240" w:before="0" w:after="0"/>
    </w:pPr>
    <w:rPr/>
  </w:style>
  <w:style w:type="paragraph" w:styleId="FootnoteText">
    <w:name w:val="Footnote Text"/>
    <w:basedOn w:val="Normal"/>
    <w:uiPriority w:val="99"/>
    <w:semiHidden/>
    <w:unhideWhenUsed/>
    <w:pPr>
      <w:spacing w:lineRule="auto" w:line="240" w:before="0" w:after="40"/>
    </w:pPr>
    <w:rPr>
      <w:sz w:val="18"/>
    </w:rPr>
  </w:style>
  <w:style w:type="paragraph" w:styleId="EndnoteText">
    <w:name w:val="Endnote Text"/>
    <w:basedOn w:val="Normal"/>
    <w:uiPriority w:val="99"/>
    <w:semiHidden/>
    <w:unhideWhenUsed/>
    <w:pPr>
      <w:spacing w:lineRule="auto" w:line="240" w:before="0" w:after="0"/>
    </w:pPr>
    <w:rPr>
      <w:sz w:val="20"/>
    </w:rPr>
  </w:style>
  <w:style w:type="paragraph" w:styleId="TOC1">
    <w:name w:val="TOC 1"/>
    <w:basedOn w:val="Normal"/>
    <w:uiPriority w:val="39"/>
    <w:unhideWhenUsed/>
    <w:pPr>
      <w:spacing w:before="0" w:after="57"/>
      <w:ind w:hanging="0" w:left="0" w:right="0"/>
    </w:pPr>
    <w:rPr/>
  </w:style>
  <w:style w:type="paragraph" w:styleId="TOC2">
    <w:name w:val="TOC 2"/>
    <w:basedOn w:val="Normal"/>
    <w:uiPriority w:val="39"/>
    <w:unhideWhenUsed/>
    <w:pPr>
      <w:spacing w:before="0" w:after="57"/>
      <w:ind w:hanging="0" w:left="283" w:right="0"/>
    </w:pPr>
    <w:rPr/>
  </w:style>
  <w:style w:type="paragraph" w:styleId="TOC3">
    <w:name w:val="TOC 3"/>
    <w:basedOn w:val="Normal"/>
    <w:uiPriority w:val="39"/>
    <w:unhideWhenUsed/>
    <w:pPr>
      <w:spacing w:before="0" w:after="57"/>
      <w:ind w:hanging="0" w:left="567" w:right="0"/>
    </w:pPr>
    <w:rPr/>
  </w:style>
  <w:style w:type="paragraph" w:styleId="TOC4">
    <w:name w:val="TOC 4"/>
    <w:basedOn w:val="Normal"/>
    <w:uiPriority w:val="39"/>
    <w:unhideWhenUsed/>
    <w:pPr>
      <w:spacing w:before="0" w:after="57"/>
      <w:ind w:hanging="0" w:left="850" w:right="0"/>
    </w:pPr>
    <w:rPr/>
  </w:style>
  <w:style w:type="paragraph" w:styleId="TOC5">
    <w:name w:val="TOC 5"/>
    <w:basedOn w:val="Normal"/>
    <w:uiPriority w:val="39"/>
    <w:unhideWhenUsed/>
    <w:pPr>
      <w:spacing w:before="0" w:after="57"/>
      <w:ind w:hanging="0" w:left="1134" w:right="0"/>
    </w:pPr>
    <w:rPr/>
  </w:style>
  <w:style w:type="paragraph" w:styleId="TOC6">
    <w:name w:val="TOC 6"/>
    <w:basedOn w:val="Normal"/>
    <w:uiPriority w:val="39"/>
    <w:unhideWhenUsed/>
    <w:pPr>
      <w:spacing w:before="0" w:after="57"/>
      <w:ind w:hanging="0" w:left="1417" w:right="0"/>
    </w:pPr>
    <w:rPr/>
  </w:style>
  <w:style w:type="paragraph" w:styleId="TOC7">
    <w:name w:val="TOC 7"/>
    <w:basedOn w:val="Normal"/>
    <w:uiPriority w:val="39"/>
    <w:unhideWhenUsed/>
    <w:pPr>
      <w:spacing w:before="0" w:after="57"/>
      <w:ind w:hanging="0" w:left="1701" w:right="0"/>
    </w:pPr>
    <w:rPr/>
  </w:style>
  <w:style w:type="paragraph" w:styleId="TOC8">
    <w:name w:val="TOC 8"/>
    <w:basedOn w:val="Normal"/>
    <w:uiPriority w:val="39"/>
    <w:unhideWhenUsed/>
    <w:pPr>
      <w:spacing w:before="0" w:after="57"/>
      <w:ind w:hanging="0" w:left="1984" w:right="0"/>
    </w:pPr>
    <w:rPr/>
  </w:style>
  <w:style w:type="paragraph" w:styleId="TOC9">
    <w:name w:val="TOC 9"/>
    <w:basedOn w:val="Normal"/>
    <w:uiPriority w:val="39"/>
    <w:unhideWhenUsed/>
    <w:pPr>
      <w:spacing w:before="0" w:after="57"/>
      <w:ind w:hanging="0" w:left="2268" w:right="0"/>
    </w:pPr>
    <w:rPr/>
  </w:style>
  <w:style w:type="paragraph" w:styleId="IndexHeading">
    <w:name w:val="Index Heading"/>
    <w:basedOn w:val="Style13"/>
    <w:pPr/>
    <w:rPr/>
  </w:style>
  <w:style w:type="paragraph" w:styleId="TOCHeading">
    <w:name w:val="TOC Heading"/>
    <w:uiPriority w:val="39"/>
    <w:unhideWhenUsed/>
    <w:qFormat/>
    <w:pPr>
      <w:widowControl/>
      <w:suppressAutoHyphens w:val="true"/>
      <w:bidi w:val="0"/>
      <w:spacing w:before="0" w:after="0"/>
      <w:jc w:val="left"/>
    </w:pPr>
    <w:rPr>
      <w:rFonts w:ascii="Times New Roman" w:hAnsi="Times New Roman" w:eastAsia="Tahoma" w:cs="Noto Sans Devanagari"/>
      <w:color w:val="auto"/>
      <w:kern w:val="0"/>
      <w:sz w:val="20"/>
      <w:szCs w:val="20"/>
      <w:lang w:val="ru-RU" w:eastAsia="zh-CN" w:bidi="ar-SA"/>
    </w:rPr>
  </w:style>
  <w:style w:type="paragraph" w:styleId="TableofFigures">
    <w:name w:val="Table of Figures"/>
    <w:basedOn w:val="Normal"/>
    <w:uiPriority w:val="99"/>
    <w:unhideWhenUsed/>
    <w:pPr>
      <w:spacing w:before="0" w:afterAutospacing="0" w:after="0"/>
    </w:pPr>
    <w:rPr/>
  </w:style>
  <w:style w:type="paragraph" w:styleId="ListParagraph">
    <w:name w:val="List Paragraph"/>
    <w:basedOn w:val="Normal"/>
    <w:qFormat/>
    <w:pPr>
      <w:ind w:left="720"/>
    </w:pPr>
    <w:rPr/>
  </w:style>
  <w:style w:type="paragraph" w:styleId="Style16">
    <w:name w:val="Текст выноски"/>
    <w:basedOn w:val="Normal"/>
    <w:qFormat/>
    <w:pPr>
      <w:spacing w:lineRule="auto" w:line="240" w:before="0" w:after="0"/>
    </w:pPr>
    <w:rPr>
      <w:rFonts w:ascii="Tahoma" w:hAnsi="Tahoma"/>
      <w:sz w:val="16"/>
      <w:szCs w:val="16"/>
      <w:lang w:val="en-US"/>
    </w:rPr>
  </w:style>
  <w:style w:type="paragraph" w:styleId="Style17">
    <w:name w:val="Содержимое таблицы"/>
    <w:basedOn w:val="Normal"/>
    <w:qFormat/>
    <w:pPr/>
    <w:rPr/>
  </w:style>
  <w:style w:type="paragraph" w:styleId="Style18">
    <w:name w:val="Заголовок таблицы"/>
    <w:basedOn w:val="Normal"/>
    <w:qFormat/>
    <w:pPr>
      <w:widowControl w:val="false"/>
      <w:suppressLineNumbers/>
      <w:spacing w:lineRule="auto" w:line="240" w:before="0" w:after="0"/>
      <w:jc w:val="center"/>
    </w:pPr>
    <w:rPr>
      <w:rFonts w:ascii="Times New Roman" w:hAnsi="Times New Roman" w:eastAsia="SimSun" w:cs="Tahoma"/>
      <w:b/>
      <w:bCs/>
      <w:sz w:val="24"/>
      <w:szCs w:val="24"/>
      <w:lang w:eastAsia="hi-IN"/>
    </w:rPr>
  </w:style>
  <w:style w:type="paragraph" w:styleId="Style19">
    <w:name w:val="Обычный (веб)"/>
    <w:basedOn w:val="Normal"/>
    <w:unhideWhenUsed/>
    <w:qFormat/>
    <w:pPr>
      <w:spacing w:lineRule="auto" w:line="240" w:beforeAutospacing="1" w:afterAutospacing="1"/>
    </w:pPr>
    <w:rPr>
      <w:rFonts w:ascii="Times New Roman" w:hAnsi="Times New Roman"/>
      <w:sz w:val="24"/>
      <w:szCs w:val="24"/>
      <w:lang w:eastAsia="ru-RU"/>
    </w:rPr>
  </w:style>
  <w:style w:type="paragraph" w:styleId="Style20">
    <w:name w:val="Абзац списка"/>
    <w:basedOn w:val="Normal"/>
    <w:uiPriority w:val="34"/>
    <w:qFormat/>
    <w:pPr>
      <w:ind w:left="720"/>
    </w:pPr>
    <w:rPr>
      <w:rFonts w:ascii="Times New Roman" w:hAnsi="Times New Roman" w:eastAsia="Calibri"/>
      <w:sz w:val="26"/>
    </w:rPr>
  </w:style>
  <w:style w:type="paragraph" w:styleId="3">
    <w:name w:val="Основной текст с отступом 3"/>
    <w:basedOn w:val="Normal"/>
    <w:qFormat/>
    <w:pPr>
      <w:spacing w:lineRule="auto" w:line="240" w:beforeAutospacing="1" w:afterAutospacing="1"/>
    </w:pPr>
    <w:rPr>
      <w:rFonts w:ascii="Times New Roman" w:hAnsi="Times New Roman"/>
      <w:sz w:val="24"/>
      <w:szCs w:val="24"/>
      <w:lang w:eastAsia="ru-RU"/>
    </w:rPr>
  </w:style>
  <w:style w:type="paragraph" w:styleId="NoSpacing">
    <w:name w:val="No Spacing"/>
    <w:qFormat/>
    <w:pPr>
      <w:widowControl/>
      <w:suppressAutoHyphens w:val="true"/>
      <w:bidi w:val="0"/>
      <w:spacing w:before="0" w:after="0"/>
      <w:jc w:val="left"/>
    </w:pPr>
    <w:rPr>
      <w:rFonts w:ascii="Calibri" w:hAnsi="Calibri" w:eastAsia="Tahoma" w:cs="Noto Sans Devanagari"/>
      <w:color w:val="auto"/>
      <w:kern w:val="0"/>
      <w:sz w:val="22"/>
      <w:szCs w:val="22"/>
      <w:lang w:val="ru-RU" w:eastAsia="en-US" w:bidi="ar-SA"/>
    </w:rPr>
  </w:style>
  <w:style w:type="paragraph" w:styleId="UserStyle9">
    <w:name w:val="UserStyle_9"/>
    <w:basedOn w:val="Normal"/>
    <w:qFormat/>
    <w:pPr>
      <w:spacing w:lineRule="exact" w:line="240" w:before="0" w:after="160"/>
    </w:pPr>
    <w:rPr>
      <w:rFonts w:ascii="Verdana" w:hAnsi="Verdana"/>
      <w:sz w:val="20"/>
      <w:szCs w:val="20"/>
      <w:lang w:val="en-US"/>
    </w:rPr>
  </w:style>
  <w:style w:type="paragraph" w:styleId="Style21">
    <w:name w:val="Знак Знак Знак Знак"/>
    <w:basedOn w:val="Normal"/>
    <w:qFormat/>
    <w:pPr>
      <w:spacing w:lineRule="auto" w:line="240" w:beforeAutospacing="1" w:afterAutospacing="1"/>
    </w:pPr>
    <w:rPr>
      <w:rFonts w:ascii="Tahoma" w:hAnsi="Tahoma"/>
      <w:sz w:val="20"/>
      <w:szCs w:val="20"/>
      <w:lang w:val="en-US"/>
    </w:rPr>
  </w:style>
  <w:style w:type="paragraph" w:styleId="6">
    <w:name w:val=" Знак Знак6"/>
    <w:basedOn w:val="Normal"/>
    <w:qFormat/>
    <w:pPr>
      <w:spacing w:lineRule="exact" w:line="240" w:before="0" w:after="160"/>
    </w:pPr>
    <w:rPr>
      <w:rFonts w:ascii="Verdana" w:hAnsi="Verdana"/>
      <w:sz w:val="20"/>
      <w:szCs w:val="20"/>
      <w:lang w:val="en-US"/>
    </w:rPr>
  </w:style>
  <w:style w:type="paragraph" w:styleId="Style22">
    <w:name w:val="Без интервала"/>
    <w:uiPriority w:val="1"/>
    <w:qFormat/>
    <w:pPr>
      <w:widowControl/>
      <w:suppressAutoHyphens w:val="true"/>
      <w:bidi w:val="0"/>
      <w:spacing w:before="0" w:after="0"/>
      <w:jc w:val="left"/>
    </w:pPr>
    <w:rPr>
      <w:rFonts w:ascii="Times New Roman" w:hAnsi="Times New Roman" w:eastAsia="Calibri" w:cs="Noto Sans Devanagari"/>
      <w:color w:val="auto"/>
      <w:kern w:val="0"/>
      <w:sz w:val="20"/>
      <w:szCs w:val="20"/>
      <w:lang w:val="ru-RU" w:eastAsia="ru-RU" w:bidi="ar-SA"/>
    </w:rPr>
  </w:style>
  <w:style w:type="paragraph" w:styleId="ConsPlusNormal">
    <w:name w:val="ConsPlusNormal"/>
    <w:qFormat/>
    <w:pPr>
      <w:widowControl w:val="false"/>
      <w:suppressAutoHyphens w:val="true"/>
      <w:bidi w:val="0"/>
      <w:spacing w:before="0" w:after="0"/>
      <w:jc w:val="left"/>
    </w:pPr>
    <w:rPr>
      <w:rFonts w:ascii="Times New Roman" w:hAnsi="Times New Roman" w:eastAsia="Tahoma" w:cs="Noto Sans Devanagari"/>
      <w:color w:val="auto"/>
      <w:kern w:val="0"/>
      <w:sz w:val="26"/>
      <w:szCs w:val="20"/>
      <w:lang w:val="ru-RU" w:eastAsia="ru-RU" w:bidi="ar-SA"/>
    </w:rPr>
  </w:style>
  <w:style w:type="paragraph" w:styleId="211">
    <w:name w:val="Основной текст (2)1"/>
    <w:basedOn w:val="Normal"/>
    <w:qFormat/>
    <w:pPr>
      <w:widowControl w:val="false"/>
      <w:shd w:val="clear" w:color="auto" w:fill="FFFFFF"/>
      <w:spacing w:lineRule="exact" w:line="274" w:before="0" w:after="240"/>
      <w:jc w:val="both"/>
    </w:pPr>
    <w:rPr>
      <w:rFonts w:ascii="Times New Roman" w:hAnsi="Times New Roman"/>
      <w:lang w:eastAsia="ru-RU"/>
    </w:rPr>
  </w:style>
  <w:style w:type="paragraph" w:styleId="Standard">
    <w:name w:val="Standard"/>
    <w:qFormat/>
    <w:pPr>
      <w:widowControl/>
      <w:suppressAutoHyphens w:val="true"/>
      <w:bidi w:val="0"/>
      <w:spacing w:before="0" w:after="0"/>
      <w:jc w:val="left"/>
    </w:pPr>
    <w:rPr>
      <w:rFonts w:ascii="Times New Roman" w:hAnsi="Times New Roman" w:eastAsia="Tahoma" w:cs="Noto Sans Devanagari"/>
      <w:color w:val="auto"/>
      <w:kern w:val="0"/>
      <w:sz w:val="20"/>
      <w:szCs w:val="20"/>
      <w:lang w:val="ru-RU" w:eastAsia="ru-RU" w:bidi="ar-SA"/>
    </w:rPr>
  </w:style>
  <w:style w:type="paragraph" w:styleId="Bodytext21">
    <w:name w:val="Body text (2)"/>
    <w:basedOn w:val="Normal"/>
    <w:qFormat/>
    <w:pPr>
      <w:widowControl w:val="false"/>
      <w:shd w:val="clear" w:color="auto" w:fill="FFFFFF"/>
      <w:spacing w:lineRule="exact" w:line="298" w:before="0" w:after="0"/>
      <w:jc w:val="center"/>
    </w:pPr>
    <w:rPr>
      <w:rFonts w:ascii="Times New Roman" w:hAnsi="Times New Roman"/>
      <w:b/>
      <w:bCs/>
      <w:sz w:val="26"/>
      <w:szCs w:val="26"/>
      <w:lang w:eastAsia="ru-RU"/>
    </w:rPr>
  </w:style>
  <w:style w:type="paragraph" w:styleId="Style23">
    <w:name w:val="Содержимое врезки"/>
    <w:basedOn w:val="Normal"/>
    <w:qFormat/>
    <w:pPr/>
    <w:rPr/>
  </w:style>
  <w:style w:type="numbering" w:styleId="Style24">
    <w:name w:val="Нет списка"/>
    <w:semiHidden/>
    <w:qFormat/>
  </w:style>
  <w:style w:type="numbering" w:styleId="NoList" w:default="1">
    <w:name w:val="No List"/>
    <w:uiPriority w:val="99"/>
    <w:semiHidden/>
    <w:unhideWhenUsed/>
    <w:qFormat/>
  </w:style>
  <w:style w:type="numbering" w:styleId="WW8Num5">
    <w:name w:val="WW8Num5"/>
    <w:qFormat/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hyperlink" Target="http://www.cheb.ru/doma/dekabrist/17.xhtml" TargetMode="External"/><Relationship Id="rId3" Type="http://schemas.openxmlformats.org/officeDocument/2006/relationships/hyperlink" Target="https://culture.cap.ru/" TargetMode="External"/><Relationship Id="rId4" Type="http://schemas.openxmlformats.org/officeDocument/2006/relationships/hyperlink" Target="https://culture.cap.ru/" TargetMode="External"/><Relationship Id="rId5" Type="http://schemas.openxmlformats.org/officeDocument/2006/relationships/header" Target="header1.xml"/><Relationship Id="rId6" Type="http://schemas.openxmlformats.org/officeDocument/2006/relationships/header" Target="header2.xml"/><Relationship Id="rId7" Type="http://schemas.openxmlformats.org/officeDocument/2006/relationships/numbering" Target="numbering.xml"/><Relationship Id="rId8" Type="http://schemas.openxmlformats.org/officeDocument/2006/relationships/fontTable" Target="fontTable.xml"/><Relationship Id="rId9" Type="http://schemas.openxmlformats.org/officeDocument/2006/relationships/settings" Target="settings.xml"/><Relationship Id="rId10" Type="http://schemas.openxmlformats.org/officeDocument/2006/relationships/theme" Target="theme/theme1.xml"/>
</Relationships>
</file>

<file path=word/theme/theme1.xml><?xml version="1.0" encoding="utf-8"?>
<a:theme xmlns:a="http://schemas.openxmlformats.org/drawingml/2006/main" xmlns:r="http://schemas.openxmlformats.org/officeDocument/2006/relationships" name="">
  <a:themeElements>
    <a:clrScheme name="">
      <a:dk1>
        <a:srgbClr val="000000"/>
      </a:dk1>
      <a:lt1>
        <a:srgbClr val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">
      <a:majorFont>
        <a:latin typeface="Arial" pitchFamily="0" charset="1"/>
        <a:ea typeface="Arial" pitchFamily="0" charset="1"/>
        <a:cs typeface="Arial" pitchFamily="0" charset="1"/>
      </a:majorFont>
      <a:minorFont>
        <a:latin typeface="Arial" pitchFamily="0" charset="1"/>
        <a:ea typeface="Arial" pitchFamily="0" charset="1"/>
        <a:cs typeface="Arial" pitchFamily="0" charset="1"/>
      </a:minorFont>
    </a:fontScheme>
    <a:fmtScheme>
      <a:fillStyleLst>
        <a:solidFill>
          <a:schemeClr val="phClr"/>
        </a:solidFill>
        <a:gradFill>
          <a:gsLst>
            <a:gs pos="0">
              <a:schemeClr val="phClr">
                <a:tint val="50000"/>
              </a:schemeClr>
            </a:gs>
            <a:gs pos="35000">
              <a:schemeClr val="phClr">
                <a:tint val="37000"/>
              </a:schemeClr>
            </a:gs>
            <a:gs pos="100000">
              <a:schemeClr val="phClr">
                <a:tint val="15000"/>
              </a:schemeClr>
            </a:gs>
          </a:gsLst>
          <a:lin ang="16200000" scaled="1"/>
          <a:tileRect l="0" t="0" r="0" b="0"/>
        </a:gradFill>
        <a:gradFill>
          <a:gsLst>
            <a:gs pos="0">
              <a:schemeClr val="phClr">
                <a:shade val="51000"/>
              </a:schemeClr>
            </a:gs>
            <a:gs pos="80000">
              <a:schemeClr val="phClr">
                <a:shade val="93000"/>
              </a:schemeClr>
            </a:gs>
            <a:gs pos="100000">
              <a:schemeClr val="phClr">
                <a:shade val="94000"/>
              </a:schemeClr>
            </a:gs>
          </a:gsLst>
          <a:lin ang="16200000" scaled="0"/>
          <a:tileRect l="0" t="0" r="0" b="0"/>
        </a:gradFill>
      </a:fillStyleLst>
      <a:lnStyleLst>
        <a:ln w="9525"/>
        <a:ln w="25400"/>
        <a:ln w="38100"/>
      </a:lnStyleLst>
      <a:effectStyleLst>
        <a:effectStyle>
          <a:effectLst/>
        </a:effectStyle>
        <a:effectStyle>
          <a:effectLst/>
        </a:effectStyle>
        <a:effectStyle>
          <a:effectLst/>
        </a:effectStyle>
      </a:effectStyleLst>
      <a:bgFillStyleLst>
        <a:solidFill>
          <a:schemeClr val="phClr"/>
        </a:solidFill>
        <a:solidFill>
          <a:srgbClr val="000000"/>
        </a:solidFill>
        <a:solidFill>
          <a:srgbClr val="000000"/>
        </a:solidFill>
      </a:bgFillStyleLst>
    </a:fmtScheme>
  </a:themeElements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1410</TotalTime>
  <Application>LibreOffice/7.6.7.2$Linux_X86_64 LibreOffice_project/60$Build-2</Application>
  <AppVersion>15.0000</AppVersion>
  <Pages>17</Pages>
  <Words>4245</Words>
  <Characters>30988</Characters>
  <CharactersWithSpaces>35108</CharactersWithSpaces>
  <Paragraphs>170</Paragraphs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2025-01-16T05:32:00Z</dcterms:created>
  <dc:creator>org</dc:creator>
  <dc:description/>
  <dc:language>ru-RU</dc:language>
  <cp:lastModifiedBy/>
  <dcterms:modified xsi:type="dcterms:W3CDTF">2025-03-21T08:22:30Z</dcterms:modified>
  <cp:revision>94</cp:revision>
  <dc:subject/>
  <dc:title>№</dc:title>
  <cp:version>917504</cp:version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