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87"/>
        <w:gridCol w:w="2440"/>
        <w:gridCol w:w="3501"/>
      </w:tblGrid>
      <w:tr>
        <w:trPr/>
        <w:tc>
          <w:tcPr>
            <w:tcW w:w="3887" w:type="dxa"/>
            <w:tcBorders/>
            <w:shd w:color="auto" w:fill="auto" w:val="clear"/>
          </w:tcPr>
          <w:p>
            <w:pPr>
              <w:pStyle w:val="1"/>
              <w:tabs>
                <w:tab w:val="clear" w:pos="708"/>
                <w:tab w:val="left" w:pos="2025" w:leader="none"/>
              </w:tabs>
              <w:ind w:left="-108" w:right="-108" w:hanging="0"/>
              <w:rPr>
                <w:bCs/>
                <w:iCs/>
                <w:sz w:val="26"/>
              </w:rPr>
            </w:pPr>
            <w:r>
              <w:rPr>
                <w:bCs/>
                <w:iCs/>
                <w:sz w:val="26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rFonts w:ascii="Arial Cyr Chuv" w:hAnsi="Arial Cyr Chuv"/>
                <w:b/>
                <w:b/>
                <w:bCs/>
                <w:i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Чёваш Республикин</w:t>
            </w:r>
          </w:p>
          <w:p>
            <w:pPr>
              <w:pStyle w:val="Normal"/>
              <w:spacing w:lineRule="auto" w:line="360"/>
              <w:ind w:left="-108" w:right="-108" w:hanging="0"/>
              <w:jc w:val="center"/>
              <w:rPr>
                <w:rFonts w:ascii="Arial Cyr Chuv" w:hAnsi="Arial Cyr Chuv"/>
                <w:b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Елч.к муниципаллё</w:t>
            </w:r>
          </w:p>
          <w:p>
            <w:pPr>
              <w:pStyle w:val="Normal"/>
              <w:spacing w:lineRule="auto" w:line="360"/>
              <w:ind w:left="-108" w:right="-108" w:hanging="0"/>
              <w:jc w:val="center"/>
              <w:rPr>
                <w:rFonts w:ascii="Arial Cyr Chuv" w:hAnsi="Arial Cyr Chuv"/>
                <w:b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округ.</w:t>
            </w:r>
          </w:p>
          <w:p>
            <w:pPr>
              <w:pStyle w:val="Normal"/>
              <w:ind w:left="-108" w:right="-108" w:hanging="0"/>
              <w:jc w:val="center"/>
              <w:rPr>
                <w:rFonts w:ascii="Arial Cyr Chuv" w:hAnsi="Arial Cyr Chuv"/>
                <w:b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Елч.к муниципаллё округ.н</w:t>
            </w:r>
          </w:p>
          <w:p>
            <w:pPr>
              <w:pStyle w:val="Normal"/>
              <w:spacing w:lineRule="auto" w:line="360"/>
              <w:ind w:left="-108" w:right="-108" w:hanging="0"/>
              <w:jc w:val="center"/>
              <w:rPr>
                <w:rFonts w:ascii="Arial Cyr Chuv" w:hAnsi="Arial Cyr Chuv"/>
                <w:b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администраций.</w:t>
            </w:r>
          </w:p>
          <w:p>
            <w:pPr>
              <w:pStyle w:val="Normal"/>
              <w:spacing w:lineRule="auto" w:line="360"/>
              <w:ind w:left="-108" w:right="-108" w:hanging="0"/>
              <w:jc w:val="center"/>
              <w:rPr>
                <w:sz w:val="16"/>
              </w:rPr>
            </w:pPr>
            <w:r>
              <w:rPr>
                <w:rFonts w:ascii="Arial Cyr Chuv" w:hAnsi="Arial Cyr Chuv"/>
                <w:b/>
                <w:sz w:val="26"/>
              </w:rPr>
              <w:t>ЙЫШЁНУ</w:t>
            </w:r>
          </w:p>
          <w:p>
            <w:pPr>
              <w:pStyle w:val="Normal"/>
              <w:ind w:left="-108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>
              <w:rPr>
                <w:rFonts w:ascii="Arial Cyr Chuv" w:hAnsi="Arial Cyr Chuv"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декабр</w:t>
            </w:r>
            <w:r>
              <w:rPr>
                <w:rFonts w:ascii="Arial Cyr Chuv" w:hAnsi="Arial Cyr Chuv"/>
                <w:sz w:val="22"/>
                <w:szCs w:val="22"/>
              </w:rPr>
              <w:t>.н 30</w:t>
            </w:r>
            <w:r>
              <w:rPr>
                <w:sz w:val="22"/>
                <w:szCs w:val="22"/>
              </w:rPr>
              <w:t>-м</w:t>
            </w:r>
            <w:r>
              <w:rPr>
                <w:rFonts w:ascii="Arial Cyr Chuv" w:hAnsi="Arial Cyr Chuv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ш</w:t>
            </w:r>
            <w:r>
              <w:rPr>
                <w:rFonts w:ascii="Arial Cyr Chuv" w:hAnsi="Arial Cyr Chuv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№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45 </w:t>
            </w:r>
          </w:p>
          <w:p>
            <w:pPr>
              <w:pStyle w:val="Normal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Елч</w:t>
            </w:r>
            <w:r>
              <w:rPr>
                <w:rFonts w:ascii="Arial Cyr Chuv" w:hAnsi="Arial Cyr Chuv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к ял</w:t>
            </w:r>
            <w:r>
              <w:rPr>
                <w:rFonts w:ascii="Arial Cyr Chuv" w:hAnsi="Arial Cyr Chuv"/>
                <w:sz w:val="18"/>
                <w:szCs w:val="18"/>
              </w:rPr>
              <w:t>.</w:t>
            </w:r>
          </w:p>
        </w:tc>
        <w:tc>
          <w:tcPr>
            <w:tcW w:w="2440" w:type="dxa"/>
            <w:tcBorders/>
            <w:shd w:color="auto" w:fill="auto" w:val="clear"/>
          </w:tcPr>
          <w:p>
            <w:pPr>
              <w:pStyle w:val="Normal"/>
              <w:ind w:left="-108" w:right="-108" w:hanging="0"/>
              <w:jc w:val="center"/>
              <w:rPr/>
            </w:pPr>
            <w:r>
              <w:rPr/>
              <w:drawing>
                <wp:inline distT="0" distB="0" distL="0" distR="0">
                  <wp:extent cx="676275" cy="876300"/>
                  <wp:effectExtent l="0" t="0" r="0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1" w:type="dxa"/>
            <w:tcBorders/>
            <w:shd w:color="auto" w:fill="auto" w:val="clear"/>
          </w:tcPr>
          <w:p>
            <w:pPr>
              <w:pStyle w:val="1"/>
              <w:ind w:left="-108" w:right="-108" w:hanging="0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</w:r>
          </w:p>
          <w:p>
            <w:pPr>
              <w:pStyle w:val="Normal"/>
              <w:ind w:right="-108" w:hanging="0"/>
              <w:rPr>
                <w:rFonts w:ascii="Arial Cyr Chuv" w:hAnsi="Arial Cyr Chuv"/>
                <w:b/>
                <w:b/>
                <w:bCs/>
                <w:i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iCs/>
                <w:sz w:val="26"/>
                <w:szCs w:val="26"/>
              </w:rPr>
              <w:t xml:space="preserve">   </w:t>
            </w:r>
            <w:r>
              <w:rPr>
                <w:rFonts w:ascii="Arial Cyr Chuv" w:hAnsi="Arial Cyr Chuv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>
            <w:pPr>
              <w:pStyle w:val="Normal"/>
              <w:spacing w:lineRule="auto" w:line="360"/>
              <w:ind w:left="-108" w:right="-108" w:hanging="0"/>
              <w:jc w:val="center"/>
              <w:rPr>
                <w:rFonts w:ascii="Arial Cyr Chuv" w:hAnsi="Arial Cyr Chuv"/>
                <w:b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Яльчикский район</w:t>
            </w:r>
          </w:p>
          <w:p>
            <w:pPr>
              <w:pStyle w:val="Normal"/>
              <w:ind w:left="-108" w:right="-108" w:hanging="0"/>
              <w:jc w:val="center"/>
              <w:rPr>
                <w:rFonts w:ascii="Arial Cyr Chuv" w:hAnsi="Arial Cyr Chuv"/>
                <w:b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Администрация </w:t>
            </w:r>
          </w:p>
          <w:p>
            <w:pPr>
              <w:pStyle w:val="Normal"/>
              <w:ind w:left="-108" w:right="-108" w:hanging="0"/>
              <w:jc w:val="center"/>
              <w:rPr>
                <w:rFonts w:ascii="Arial Cyr Chuv" w:hAnsi="Arial Cyr Chuv"/>
                <w:b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>Яльчикского</w:t>
            </w:r>
          </w:p>
          <w:p>
            <w:pPr>
              <w:pStyle w:val="Normal"/>
              <w:ind w:left="-108" w:right="-108" w:hanging="0"/>
              <w:jc w:val="center"/>
              <w:rPr>
                <w:rFonts w:ascii="Arial Cyr Chuv" w:hAnsi="Arial Cyr Chuv"/>
                <w:b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  <w:t xml:space="preserve">муниципального округа </w:t>
            </w:r>
          </w:p>
          <w:p>
            <w:pPr>
              <w:pStyle w:val="Normal"/>
              <w:ind w:left="-108" w:right="-108" w:hanging="0"/>
              <w:jc w:val="center"/>
              <w:rPr>
                <w:rFonts w:ascii="Arial Cyr Chuv" w:hAnsi="Arial Cyr Chuv"/>
                <w:b/>
                <w:b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/>
                <w:bCs/>
                <w:sz w:val="26"/>
                <w:szCs w:val="26"/>
              </w:rPr>
            </w:r>
          </w:p>
          <w:p>
            <w:pPr>
              <w:pStyle w:val="1"/>
              <w:spacing w:lineRule="auto" w:line="360"/>
              <w:ind w:left="-108" w:right="-108" w:hanging="0"/>
              <w:rPr>
                <w:b/>
                <w:b/>
              </w:rPr>
            </w:pPr>
            <w:r>
              <w:rPr>
                <w:b/>
                <w:sz w:val="26"/>
              </w:rPr>
              <w:t>ПОСТАНОВЛЕНИЕ</w:t>
            </w:r>
          </w:p>
          <w:p>
            <w:pPr>
              <w:pStyle w:val="Normal"/>
              <w:ind w:left="-108" w:right="-108" w:hanging="0"/>
              <w:rPr>
                <w:sz w:val="22"/>
                <w:szCs w:val="22"/>
              </w:rPr>
            </w:pPr>
            <w:r>
              <w:rPr>
                <w:sz w:val="26"/>
              </w:rPr>
              <w:t xml:space="preserve">     </w:t>
            </w:r>
            <w:r>
              <w:rPr>
                <w:sz w:val="26"/>
              </w:rPr>
              <w:t xml:space="preserve">30 декабря </w:t>
            </w:r>
            <w:r>
              <w:rPr>
                <w:sz w:val="22"/>
                <w:szCs w:val="22"/>
              </w:rPr>
              <w:t xml:space="preserve">2022 г. №45  </w:t>
            </w:r>
          </w:p>
          <w:p>
            <w:pPr>
              <w:pStyle w:val="Normal"/>
              <w:ind w:left="-108" w:right="-108" w:hanging="0"/>
              <w:jc w:val="center"/>
              <w:rPr/>
            </w:pPr>
            <w:r>
              <w:rPr/>
            </w:r>
          </w:p>
          <w:p>
            <w:pPr>
              <w:pStyle w:val="Normal"/>
              <w:ind w:left="-108" w:right="-108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село Яльчики</w:t>
            </w:r>
          </w:p>
        </w:tc>
      </w:tr>
    </w:tbl>
    <w:p>
      <w:pPr>
        <w:pStyle w:val="ConsPlusTitlePage"/>
        <w:rPr/>
      </w:pPr>
      <w:r>
        <w:rPr/>
      </w:r>
    </w:p>
    <w:p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/>
        <w:br/>
      </w:r>
      <w:r>
        <w:rPr>
          <w:rFonts w:cs="Times New Roman" w:ascii="Times New Roman" w:hAnsi="Times New Roman"/>
          <w:sz w:val="26"/>
          <w:szCs w:val="26"/>
        </w:rPr>
        <w:t xml:space="preserve">Об утверждении Положения о порядке </w:t>
      </w:r>
    </w:p>
    <w:p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использования средств резервного фонда</w:t>
      </w:r>
    </w:p>
    <w:p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 Яльчикского муниципального</w:t>
      </w:r>
    </w:p>
    <w:p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округа Чувашской Республики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spacing w:before="0" w:after="0"/>
        <w:ind w:firstLine="539"/>
        <w:contextualSpacing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В соответствии со </w:t>
      </w:r>
      <w:hyperlink r:id="rId3">
        <w:r>
          <w:rPr>
            <w:rStyle w:val="Style"/>
            <w:rFonts w:cs="Times New Roman" w:ascii="Times New Roman" w:hAnsi="Times New Roman"/>
            <w:color w:val="000000" w:themeColor="text1"/>
            <w:sz w:val="26"/>
            <w:szCs w:val="26"/>
          </w:rPr>
          <w:t>статьей 81</w:t>
        </w:r>
      </w:hyperlink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Бюджетного кодекса Российской Федерации и </w:t>
      </w:r>
      <w:hyperlink r:id="rId4">
        <w:r>
          <w:rPr>
            <w:rStyle w:val="Style"/>
            <w:rFonts w:cs="Times New Roman" w:ascii="Times New Roman" w:hAnsi="Times New Roman"/>
            <w:color w:val="000000" w:themeColor="text1"/>
            <w:sz w:val="26"/>
            <w:szCs w:val="26"/>
          </w:rPr>
          <w:t>решением</w:t>
        </w:r>
      </w:hyperlink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Собрания депутатов Яльчикского муниципального округа Чувашской Республики от 28.10.2022 N 2/1-с "Об утверждении Положения о регулировании бюджетных правоотношений в Яльчикском муниципальном округе Чувашской Республики" администрация Яльчикского муниципального округа Чувашской Республики  п о с т а н о в л я е т:</w:t>
      </w:r>
    </w:p>
    <w:p>
      <w:pPr>
        <w:pStyle w:val="ConsPlusNormal"/>
        <w:spacing w:before="200" w:after="0"/>
        <w:ind w:firstLine="539"/>
        <w:contextualSpacing/>
        <w:jc w:val="both"/>
        <w:rPr/>
      </w:pP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1. Утвердить прилагаемый </w:t>
      </w:r>
      <w:hyperlink w:anchor="P37">
        <w:r>
          <w:rPr>
            <w:rStyle w:val="Style"/>
            <w:rFonts w:cs="Times New Roman" w:ascii="Times New Roman" w:hAnsi="Times New Roman"/>
            <w:color w:val="000000" w:themeColor="text1"/>
            <w:sz w:val="26"/>
            <w:szCs w:val="26"/>
          </w:rPr>
          <w:t>Порядок</w:t>
        </w:r>
      </w:hyperlink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ис</w:t>
      </w:r>
      <w:r>
        <w:rPr>
          <w:rFonts w:cs="Times New Roman" w:ascii="Times New Roman" w:hAnsi="Times New Roman"/>
          <w:sz w:val="26"/>
          <w:szCs w:val="26"/>
        </w:rPr>
        <w:t xml:space="preserve">пользования средств резервного фонда администрации Яльчикского муниципального округа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Чувашской Республики</w:t>
      </w:r>
      <w:r>
        <w:rPr>
          <w:rFonts w:cs="Times New Roman" w:ascii="Times New Roman" w:hAnsi="Times New Roman"/>
          <w:sz w:val="26"/>
          <w:szCs w:val="26"/>
        </w:rPr>
        <w:t xml:space="preserve"> (далее - Порядок).</w:t>
      </w:r>
    </w:p>
    <w:p>
      <w:pPr>
        <w:pStyle w:val="ConsPlusNormal"/>
        <w:spacing w:before="20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Признать утратившим силу постановление главы администрации Яльчикского района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Чувашской Республики</w:t>
      </w:r>
      <w:r>
        <w:rPr>
          <w:rFonts w:cs="Times New Roman" w:ascii="Times New Roman" w:hAnsi="Times New Roman"/>
          <w:sz w:val="26"/>
          <w:szCs w:val="26"/>
        </w:rPr>
        <w:t xml:space="preserve"> от 18.03.2022 N 174 "Об утверждении Положения о порядке использования средств резервного фонда администрации Яльчикского района".</w:t>
      </w:r>
    </w:p>
    <w:p>
      <w:pPr>
        <w:pStyle w:val="ConsPlusNormal"/>
        <w:spacing w:before="20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3. Финансовому отделу администрации Яльчикского муниципального округа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Чувашской Республики</w:t>
      </w:r>
      <w:r>
        <w:rPr>
          <w:rFonts w:cs="Times New Roman" w:ascii="Times New Roman" w:hAnsi="Times New Roman"/>
          <w:sz w:val="26"/>
          <w:szCs w:val="26"/>
        </w:rPr>
        <w:t xml:space="preserve"> обеспечить финансирование расходов из резервного фонда администрации Яльчикского муниципального округа в соответствии с Порядком и распоряжением администрации Яльчикского муниципального округа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Чувашской Республики</w:t>
      </w:r>
      <w:r>
        <w:rPr>
          <w:rFonts w:cs="Times New Roman" w:ascii="Times New Roman" w:hAnsi="Times New Roman"/>
          <w:sz w:val="26"/>
          <w:szCs w:val="26"/>
        </w:rPr>
        <w:t xml:space="preserve"> о выделении средств из резервного фонда.</w:t>
      </w:r>
    </w:p>
    <w:p>
      <w:pPr>
        <w:pStyle w:val="ConsPlusNormal"/>
        <w:spacing w:before="200"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4. Контроль за использованием средств резервного фонда администрации Яльчикского муниципального округа 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>Чувашской Республики</w:t>
      </w:r>
      <w:r>
        <w:rPr>
          <w:rFonts w:cs="Times New Roman" w:ascii="Times New Roman" w:hAnsi="Times New Roman"/>
          <w:sz w:val="26"/>
          <w:szCs w:val="26"/>
        </w:rPr>
        <w:t xml:space="preserve"> осуществляется финансовым отделом администрации Яльчикского муниципального округа</w:t>
      </w:r>
      <w:r>
        <w:rPr>
          <w:rFonts w:cs="Times New Roman" w:ascii="Times New Roman" w:hAnsi="Times New Roman"/>
          <w:color w:val="000000" w:themeColor="text1"/>
          <w:sz w:val="26"/>
          <w:szCs w:val="26"/>
        </w:rPr>
        <w:t xml:space="preserve"> Чувашской Республики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Глава Яльчикского </w:t>
      </w:r>
    </w:p>
    <w:p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муниципального округа</w:t>
      </w:r>
    </w:p>
    <w:p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Чувашской Республики                                                                             Л.В.Левый</w:t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Утверждено</w:t>
      </w:r>
    </w:p>
    <w:p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постановлением</w:t>
      </w:r>
    </w:p>
    <w:p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администрации Яльчикского</w:t>
      </w:r>
    </w:p>
    <w:p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муниципального округа</w:t>
      </w:r>
    </w:p>
    <w:p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Чувашской Республики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sz w:val="26"/>
          <w:szCs w:val="26"/>
        </w:rPr>
        <w:t xml:space="preserve">от 30.12.2022 N </w:t>
      </w:r>
      <w:r>
        <w:rPr>
          <w:rFonts w:cs="Times New Roman" w:ascii="Times New Roman" w:hAnsi="Times New Roman"/>
          <w:sz w:val="26"/>
          <w:szCs w:val="26"/>
        </w:rPr>
        <w:t>45</w:t>
      </w: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eastAsia="" w:eastAsiaTheme="minorEastAsia"/>
          <w:sz w:val="26"/>
          <w:szCs w:val="26"/>
        </w:rPr>
      </w:pPr>
      <w:bookmarkStart w:id="1" w:name="P37"/>
      <w:bookmarkEnd w:id="1"/>
      <w:r>
        <w:rPr>
          <w:rFonts w:eastAsia="" w:ascii="Times New Roman" w:hAnsi="Times New Roman" w:eastAsiaTheme="minorEastAsia"/>
          <w:sz w:val="26"/>
          <w:szCs w:val="26"/>
        </w:rPr>
        <w:t>ПОЛОЖЕНИЕ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О ПОРЯДКЕ ИСПОЛЬЗОВАНИЯ СРЕДСТВ РЕЗЕРВНОГО ФОНДА</w:t>
      </w:r>
    </w:p>
    <w:p>
      <w:pPr>
        <w:pStyle w:val="Normal"/>
        <w:spacing w:before="0" w:after="0"/>
        <w:contextualSpacing/>
        <w:jc w:val="center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АДМИНИСТРАЦИИ ЯЛЬЧИКСКОГО МУНИЦИПАЛЬНОГО ОКРУГА ЧУВАШСКОЙ РЕСПУБЛИКИ</w:t>
      </w:r>
    </w:p>
    <w:p>
      <w:pPr>
        <w:pStyle w:val="Normal"/>
        <w:spacing w:before="0" w:after="1"/>
        <w:contextualSpacing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eastAsiaTheme="minorEastAsia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540"/>
        <w:contextualSpacing/>
        <w:jc w:val="both"/>
        <w:rPr/>
      </w:pPr>
      <w:r>
        <w:rPr>
          <w:rFonts w:eastAsia="" w:ascii="Times New Roman" w:hAnsi="Times New Roman" w:eastAsiaTheme="minorEastAsia"/>
          <w:sz w:val="26"/>
          <w:szCs w:val="26"/>
        </w:rPr>
        <w:t xml:space="preserve">1. Настоящее Положение разработано в соответствии со </w:t>
      </w:r>
      <w:hyperlink r:id="rId5">
        <w:r>
          <w:rPr>
            <w:rStyle w:val="Style"/>
            <w:rFonts w:eastAsia="" w:ascii="Times New Roman" w:hAnsi="Times New Roman" w:eastAsiaTheme="minorEastAsia"/>
            <w:color w:val="0000FF"/>
            <w:sz w:val="26"/>
            <w:szCs w:val="26"/>
          </w:rPr>
          <w:t>статьей 81</w:t>
        </w:r>
      </w:hyperlink>
      <w:r>
        <w:rPr>
          <w:rFonts w:eastAsia="" w:ascii="Times New Roman" w:hAnsi="Times New Roman" w:eastAsiaTheme="minorEastAsia"/>
          <w:sz w:val="26"/>
          <w:szCs w:val="26"/>
        </w:rPr>
        <w:t xml:space="preserve"> Бюджетного кодекса Российской Федерации и </w:t>
      </w:r>
      <w:hyperlink r:id="rId6">
        <w:r>
          <w:rPr>
            <w:rStyle w:val="Style"/>
            <w:rFonts w:eastAsia="" w:ascii="Times New Roman" w:hAnsi="Times New Roman" w:eastAsiaTheme="minorEastAsia"/>
            <w:color w:val="0000FF"/>
            <w:sz w:val="26"/>
            <w:szCs w:val="26"/>
          </w:rPr>
          <w:t>Уставом</w:t>
        </w:r>
      </w:hyperlink>
      <w:r>
        <w:rPr>
          <w:rFonts w:eastAsia="" w:ascii="Times New Roman" w:hAnsi="Times New Roman" w:eastAsiaTheme="minorEastAsia"/>
          <w:sz w:val="26"/>
          <w:szCs w:val="26"/>
        </w:rPr>
        <w:t xml:space="preserve"> Яльчикского муниципального округа Чувашской Республики, устанавливает порядок выделения и использования средств резервного фонда администрации Яльчикского муниципального округа Чувашской Республики (далее - администрация Яльчикского муниципального округа).</w:t>
      </w:r>
    </w:p>
    <w:p>
      <w:pPr>
        <w:pStyle w:val="Normal"/>
        <w:spacing w:before="200" w:after="0"/>
        <w:ind w:firstLine="54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2. Средства резервного фонда администрации Яльчикского муниципального округа за счет средств бюджета Яльчикского муниципального округа создаются для финансирования непредвиденных расходов и мероприятий местного значения, не предусмотренных в бюджете Яльчикского муниципального округа на соответствующий финансовый год.</w:t>
      </w:r>
    </w:p>
    <w:p>
      <w:pPr>
        <w:pStyle w:val="Normal"/>
        <w:spacing w:before="200" w:after="0"/>
        <w:ind w:firstLine="54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3. Размер резервного фонда определяется решением Собрания депутатов Яльчикского муниципального округа Чувашской Республики о бюджете Яльчикского муниципального округа на очередной финансовый год и на плановый период.</w:t>
      </w:r>
    </w:p>
    <w:p>
      <w:pPr>
        <w:pStyle w:val="Normal"/>
        <w:spacing w:before="200" w:after="0"/>
        <w:ind w:firstLine="54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4. Средства резервного фонда используются на:</w:t>
      </w:r>
    </w:p>
    <w:p>
      <w:pPr>
        <w:pStyle w:val="Normal"/>
        <w:spacing w:before="200" w:after="0"/>
        <w:ind w:firstLine="54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а) реализацию мероприятий по ликвидации чрезвычайных ситуаций, стихийных бедствий и их последствий локального и муниципального характера;</w:t>
      </w:r>
    </w:p>
    <w:p>
      <w:pPr>
        <w:pStyle w:val="Normal"/>
        <w:spacing w:before="200" w:after="0"/>
        <w:ind w:firstLine="54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б) проведение неотложных ремонтных и аварийно-восстановительных работ на объектах жилищного фонда и социально значимых объектах образования, здравоохранения и социальной защиты населения, ЖКХ (за исключением работ, проводимых при ликвидации чрезвычайных ситуаций, стихийных бедствий и их последствий локального и муниципального характера);</w:t>
      </w:r>
    </w:p>
    <w:p>
      <w:pPr>
        <w:pStyle w:val="Normal"/>
        <w:spacing w:before="200" w:after="0"/>
        <w:ind w:firstLine="54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в) проведение экстренных противопаводковых мероприятий;</w:t>
      </w:r>
    </w:p>
    <w:p>
      <w:pPr>
        <w:pStyle w:val="Normal"/>
        <w:spacing w:before="200" w:after="0"/>
        <w:ind w:firstLine="54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г) оказание единовременной материальной помощи гражданам, пострадавшим в результате чрезвычайных ситуаций (из расчета до 3 тыс. руб. на человека, но не более 10 тыс. руб. на семью);</w:t>
      </w:r>
    </w:p>
    <w:p>
      <w:pPr>
        <w:pStyle w:val="Normal"/>
        <w:spacing w:before="200" w:after="0"/>
        <w:ind w:firstLine="54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д) оказание гражданам финансовой помощи в связи с утратой ими имущества первой необходимости (из расчета за частично утраченное имущество - до 5 тыс. руб. на семью, за полностью утраченное имущество - до 10 тыс. руб. на семью);</w:t>
      </w:r>
    </w:p>
    <w:p>
      <w:pPr>
        <w:pStyle w:val="Normal"/>
        <w:spacing w:before="200" w:after="0"/>
        <w:ind w:firstLine="54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е) подготовку, развертывание и содержание временных пунктов размещения пострадавших граждан и их питание в течение необходимого срока, но не более одного месяца;</w:t>
      </w:r>
    </w:p>
    <w:p>
      <w:pPr>
        <w:pStyle w:val="Normal"/>
        <w:spacing w:before="200" w:after="0"/>
        <w:ind w:firstLine="54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ж) восполнение израсходованного резерва продовольствия, вещевого имущества, товаров первой необходимости, технических средств доставки пищи;</w:t>
      </w:r>
    </w:p>
    <w:p>
      <w:pPr>
        <w:pStyle w:val="Normal"/>
        <w:spacing w:before="200" w:after="0"/>
        <w:ind w:firstLine="54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з) реализацию иных мероприятий по решению администрации Яльчикского муниципального округа Чувашской Республики.</w:t>
      </w:r>
    </w:p>
    <w:p>
      <w:pPr>
        <w:pStyle w:val="Normal"/>
        <w:spacing w:before="200" w:after="0"/>
        <w:ind w:firstLine="54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5. Использование средств резервного фонда администрации Яльчикского муниципального округа за счет средств бюджета Яльчикского муниципального округа осуществляется на основании распоряжений администрации Яльчикского муниципального округа.</w:t>
      </w:r>
    </w:p>
    <w:p>
      <w:pPr>
        <w:pStyle w:val="Normal"/>
        <w:spacing w:before="200" w:after="0"/>
        <w:ind w:firstLine="54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6. Проекты распоряжений о выделении средств из Резервного фонда с указанием размера выделяемых средств и направления их расходования готовит финансовый отдел администрации Яльчикского муниципального округа Чувашской Республики по поручениям главы Яльчикского муниципального округа Чувашской Республики.</w:t>
      </w:r>
    </w:p>
    <w:p>
      <w:pPr>
        <w:pStyle w:val="Normal"/>
        <w:spacing w:before="200" w:after="0"/>
        <w:ind w:firstLine="54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7. Главные распорядители средств бюджета Яльчикского муниципального округа и организации, в распоряжение которых выделяются средства резервного фонда, несут ответственность за целевое использование средств в порядке, установленном законодательством Российской Федерации, и в месячный срок после проведения соответствующих мероприятий представляют в администрацию Яльчикского муниципального округа подробный отчет об использовании этих средств по форме согласно приложению к настоящему Положению.</w:t>
      </w:r>
    </w:p>
    <w:p>
      <w:pPr>
        <w:pStyle w:val="Normal"/>
        <w:spacing w:before="200" w:after="0"/>
        <w:ind w:firstLine="54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ascii="Times New Roman" w:hAnsi="Times New Roman" w:eastAsiaTheme="minorEastAsia"/>
          <w:sz w:val="26"/>
          <w:szCs w:val="26"/>
        </w:rPr>
        <w:t>8. Отчет об использовании бюджетных ассигнований резервного фонда администрацией Яльчикского муниципального округа прилагается к ежеквартальному и годовому отчетам об исполнении бюджета Яльчикского муниципального округа.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eastAsiaTheme="minorEastAsia" w:ascii="Times New Roman" w:hAnsi="Times New Roman"/>
          <w:sz w:val="26"/>
          <w:szCs w:val="26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eastAsia="" w:eastAsiaTheme="minorEastAsia"/>
          <w:sz w:val="26"/>
          <w:szCs w:val="26"/>
        </w:rPr>
      </w:pPr>
      <w:r>
        <w:rPr>
          <w:rFonts w:eastAsia="" w:eastAsiaTheme="minorEastAsia" w:ascii="Times New Roman" w:hAnsi="Times New Roman"/>
          <w:sz w:val="26"/>
          <w:szCs w:val="26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right"/>
        <w:outlineLvl w:val="0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  <w:t xml:space="preserve">Приложение </w:t>
      </w:r>
    </w:p>
    <w:p>
      <w:pPr>
        <w:pStyle w:val="Normal"/>
        <w:widowControl/>
        <w:jc w:val="right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  <w:t>к Положению о порядке</w:t>
      </w:r>
    </w:p>
    <w:p>
      <w:pPr>
        <w:pStyle w:val="Normal"/>
        <w:widowControl/>
        <w:jc w:val="right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  <w:t>использования средств</w:t>
      </w:r>
    </w:p>
    <w:p>
      <w:pPr>
        <w:pStyle w:val="Normal"/>
        <w:widowControl/>
        <w:jc w:val="right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  <w:t>резервного фонда</w:t>
      </w:r>
    </w:p>
    <w:p>
      <w:pPr>
        <w:pStyle w:val="Normal"/>
        <w:widowControl/>
        <w:jc w:val="right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  <w:t xml:space="preserve">администрации Яльчикского </w:t>
      </w:r>
    </w:p>
    <w:p>
      <w:pPr>
        <w:pStyle w:val="Normal"/>
        <w:widowControl/>
        <w:jc w:val="right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  <w:t>муниципального округа</w:t>
      </w:r>
    </w:p>
    <w:p>
      <w:pPr>
        <w:pStyle w:val="Normal"/>
        <w:widowControl/>
        <w:jc w:val="right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  <w:t>Чувашской Республики</w:t>
      </w:r>
    </w:p>
    <w:p>
      <w:pPr>
        <w:pStyle w:val="Normal"/>
        <w:widowControl/>
        <w:jc w:val="both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spacing w:before="200" w:after="0"/>
        <w:jc w:val="center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b/>
          <w:bCs/>
          <w:sz w:val="20"/>
          <w:szCs w:val="20"/>
          <w:lang w:eastAsia="en-US"/>
        </w:rPr>
        <w:t>Отчет</w:t>
      </w:r>
    </w:p>
    <w:p>
      <w:pPr>
        <w:pStyle w:val="Normal"/>
        <w:widowControl/>
        <w:numPr>
          <w:ilvl w:val="0"/>
          <w:numId w:val="0"/>
        </w:numPr>
        <w:jc w:val="center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b/>
          <w:bCs/>
          <w:sz w:val="20"/>
          <w:szCs w:val="20"/>
          <w:lang w:eastAsia="en-US"/>
        </w:rPr>
        <w:t>о результатах реализации мероприятий, источником</w:t>
      </w:r>
    </w:p>
    <w:p>
      <w:pPr>
        <w:pStyle w:val="Normal"/>
        <w:widowControl/>
        <w:numPr>
          <w:ilvl w:val="0"/>
          <w:numId w:val="0"/>
        </w:numPr>
        <w:jc w:val="center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b/>
          <w:bCs/>
          <w:sz w:val="20"/>
          <w:szCs w:val="20"/>
          <w:lang w:eastAsia="en-US"/>
        </w:rPr>
        <w:t>финансового обеспечения которых в текущем финансовом году</w:t>
      </w:r>
    </w:p>
    <w:p>
      <w:pPr>
        <w:pStyle w:val="Normal"/>
        <w:widowControl/>
        <w:numPr>
          <w:ilvl w:val="0"/>
          <w:numId w:val="0"/>
        </w:numPr>
        <w:jc w:val="center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b/>
          <w:bCs/>
          <w:sz w:val="20"/>
          <w:szCs w:val="20"/>
          <w:lang w:eastAsia="en-US"/>
        </w:rPr>
        <w:t>являются бюджетные ассигнования резервного фонда</w:t>
      </w:r>
    </w:p>
    <w:p>
      <w:pPr>
        <w:pStyle w:val="Normal"/>
        <w:widowControl/>
        <w:numPr>
          <w:ilvl w:val="0"/>
          <w:numId w:val="0"/>
        </w:numPr>
        <w:jc w:val="center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b/>
          <w:bCs/>
          <w:sz w:val="20"/>
          <w:szCs w:val="20"/>
          <w:lang w:eastAsia="en-US"/>
        </w:rPr>
        <w:t>администрации Яльчикского муниципального округа Чувашской Республики</w:t>
      </w:r>
    </w:p>
    <w:p>
      <w:pPr>
        <w:pStyle w:val="Normal"/>
        <w:widowControl/>
        <w:numPr>
          <w:ilvl w:val="0"/>
          <w:numId w:val="0"/>
        </w:numPr>
        <w:jc w:val="center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b/>
          <w:bCs/>
          <w:sz w:val="20"/>
          <w:szCs w:val="20"/>
          <w:lang w:eastAsia="en-US"/>
        </w:rPr>
        <w:t>на 1</w:t>
      </w: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 xml:space="preserve"> ___________ </w:t>
      </w:r>
      <w:r>
        <w:rPr>
          <w:rFonts w:eastAsia="Calibri" w:cs="Courier New" w:ascii="Courier New" w:hAnsi="Courier New" w:eastAsiaTheme="minorHAnsi"/>
          <w:b/>
          <w:bCs/>
          <w:sz w:val="20"/>
          <w:szCs w:val="20"/>
          <w:lang w:eastAsia="en-US"/>
        </w:rPr>
        <w:t>20</w:t>
      </w: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 xml:space="preserve">____ </w:t>
      </w:r>
      <w:r>
        <w:rPr>
          <w:rFonts w:eastAsia="Calibri" w:cs="Courier New" w:ascii="Courier New" w:hAnsi="Courier New" w:eastAsiaTheme="minorHAnsi"/>
          <w:b/>
          <w:bCs/>
          <w:sz w:val="20"/>
          <w:szCs w:val="20"/>
          <w:lang w:eastAsia="en-US"/>
        </w:rPr>
        <w:t>г.</w:t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>Главный распорядитель средств</w:t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>Бюджета Яльчикского муниципального</w:t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>округа Чувашской Республики          _____________________________________________</w:t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>Периодичность: квартальная, годовая</w:t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>Единица  измерения:  тыс.  рублей (с точностью до второго десятичного знака</w:t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>после запятой)</w:t>
      </w:r>
    </w:p>
    <w:p>
      <w:pPr>
        <w:pStyle w:val="Normal"/>
        <w:widowControl/>
        <w:jc w:val="both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tbl>
      <w:tblPr>
        <w:tblW w:w="13608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67"/>
        <w:gridCol w:w="993"/>
        <w:gridCol w:w="935"/>
        <w:gridCol w:w="1757"/>
        <w:gridCol w:w="851"/>
        <w:gridCol w:w="1133"/>
        <w:gridCol w:w="1531"/>
        <w:gridCol w:w="596"/>
        <w:gridCol w:w="1502"/>
        <w:gridCol w:w="1361"/>
        <w:gridCol w:w="1134"/>
        <w:gridCol w:w="1247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N</w:t>
            </w:r>
          </w:p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пп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Распоряжение администрации Яльчикского муниципального округа Чувашской Республики о выделении бюджетных ассигнований из резервного фонда администрации Яльчикского муниципального округа Чувашской Республики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Целевое назначение (наименование мероприятия (мероприятий), предусмотренного распоряжением администрации Яльчикского муниципального округа Чувашской Республики)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Код классификации расходов бюджетов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Объем бюджетных ассигнований на текущий финансовый год, предусмотренный распоряжением администрации Яльчикского муниципального округа Чувашской Республики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Объем бюджетных ассигнований в соответствии со сводной бюджетной росписью бюджета Яльчикского муниципального округа Чувашской Республики (с учетом изменений) на текущий финансовый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Исполнение (объем исполненных бюджетных ассигнований за отчетный период)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Краткая характеристика достигнутых результатов, в целях достижения которых выделены средства резервного фонда администрации Яльчикского муниципального округа Чувашской Республики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глава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целевая статья расходов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5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3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2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jc w:val="center"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  <w:t>12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9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eastAsia="Calibri" w:cs="Arial" w:eastAsiaTheme="minorHAnsi"/>
                <w:sz w:val="20"/>
                <w:szCs w:val="20"/>
                <w:lang w:eastAsia="en-US"/>
              </w:rPr>
            </w:pPr>
            <w:r>
              <w:rPr>
                <w:rFonts w:eastAsia="Calibri" w:cs="Arial" w:eastAsiaTheme="minorHAnsi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widowControl/>
        <w:jc w:val="both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>Руководитель</w:t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>(уполномоченное лицо)     _____________ _________ _________________________</w:t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 xml:space="preserve">                           </w:t>
      </w: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>(должность)  (подпись)   (расшифровка подписи)</w:t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>Главный бухгалтер</w:t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>(уполномоченное лицо)     _____________ _________ _________________________</w:t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 xml:space="preserve">                           </w:t>
      </w: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>(должность)  (подпись)   (расшифровка подписи)</w:t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>Ответственный исполнитель _____________ _________ _________________________</w:t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 xml:space="preserve">                           </w:t>
      </w: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>(должность)  (подпись)   (расшифровка подписи)</w:t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sz w:val="20"/>
          <w:szCs w:val="20"/>
          <w:lang w:eastAsia="en-US"/>
        </w:rPr>
      </w:r>
    </w:p>
    <w:p>
      <w:pPr>
        <w:pStyle w:val="Normal"/>
        <w:widowControl/>
        <w:numPr>
          <w:ilvl w:val="0"/>
          <w:numId w:val="0"/>
        </w:numPr>
        <w:jc w:val="both"/>
        <w:outlineLvl w:val="0"/>
        <w:rPr>
          <w:rFonts w:ascii="Courier New" w:hAnsi="Courier New" w:eastAsia="Calibri" w:cs="Courier New" w:eastAsiaTheme="minorHAnsi"/>
          <w:sz w:val="20"/>
          <w:szCs w:val="20"/>
          <w:lang w:eastAsia="en-US"/>
        </w:rPr>
      </w:pPr>
      <w:r>
        <w:rPr>
          <w:rFonts w:eastAsia="Calibri" w:cs="Courier New" w:ascii="Courier New" w:hAnsi="Courier New" w:eastAsiaTheme="minorHAnsi"/>
          <w:sz w:val="20"/>
          <w:szCs w:val="20"/>
          <w:lang w:eastAsia="en-US"/>
        </w:rPr>
        <w:t>"____" ____________ 20___ г.</w:t>
      </w:r>
    </w:p>
    <w:p>
      <w:pPr>
        <w:pStyle w:val="Normal"/>
        <w:widowControl/>
        <w:jc w:val="both"/>
        <w:rPr>
          <w:rFonts w:eastAsia="Calibri" w:cs="Arial" w:eastAsiaTheme="minorHAnsi"/>
          <w:sz w:val="20"/>
          <w:szCs w:val="20"/>
          <w:lang w:eastAsia="en-US"/>
        </w:rPr>
      </w:pPr>
      <w:r>
        <w:rPr>
          <w:rFonts w:eastAsia="Calibri" w:cs="Arial" w:eastAsiaTheme="minorHAnsi"/>
          <w:sz w:val="20"/>
          <w:szCs w:val="20"/>
          <w:lang w:eastAsia="en-US"/>
        </w:rPr>
      </w:r>
    </w:p>
    <w:p>
      <w:pPr>
        <w:pStyle w:val="ConsPlusTitle"/>
        <w:spacing w:before="0" w:after="0"/>
        <w:contextualSpacing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Arial Cyr Chuv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51a3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2c51a3"/>
    <w:pPr>
      <w:keepNext w:val="true"/>
      <w:widowControl/>
      <w:jc w:val="center"/>
      <w:outlineLvl w:val="0"/>
    </w:pPr>
    <w:rPr>
      <w:rFonts w:ascii="Arial Cyr Chuv" w:hAnsi="Arial Cyr Chuv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2c51a3"/>
    <w:rPr>
      <w:rFonts w:ascii="Arial Cyr Chuv" w:hAnsi="Arial Cyr Chuv" w:eastAsia="Times New Roman" w:cs="Times New Roman"/>
      <w:sz w:val="28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5d3855"/>
    <w:rPr>
      <w:rFonts w:ascii="Segoe UI" w:hAnsi="Segoe UI" w:eastAsia="Times New Roman" w:cs="Segoe UI"/>
      <w:sz w:val="18"/>
      <w:szCs w:val="18"/>
      <w:lang w:eastAsia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2c51a3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Nonformat" w:customStyle="1">
    <w:name w:val="ConsPlusNonformat"/>
    <w:qFormat/>
    <w:rsid w:val="002c51a3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2"/>
      <w:lang w:eastAsia="ru-RU" w:val="ru-RU" w:bidi="ar-SA"/>
    </w:rPr>
  </w:style>
  <w:style w:type="paragraph" w:styleId="ConsPlusTitle" w:customStyle="1">
    <w:name w:val="ConsPlusTitle"/>
    <w:qFormat/>
    <w:rsid w:val="002c51a3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eastAsia="ru-RU" w:val="ru-RU" w:bidi="ar-SA"/>
    </w:rPr>
  </w:style>
  <w:style w:type="paragraph" w:styleId="ConsPlusTitlePage" w:customStyle="1">
    <w:name w:val="ConsPlusTitlePage"/>
    <w:qFormat/>
    <w:rsid w:val="002c51a3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d385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consultantplus://offline/ref=9DEC2CDE4A9FB1613EA73039C56612AA8B4CE1B7603AF5634DED832A8B4CE3677CD8C8DDD8167663D69C5486EC0FAA3E2215D1EB4743FBV3I" TargetMode="External"/><Relationship Id="rId4" Type="http://schemas.openxmlformats.org/officeDocument/2006/relationships/hyperlink" Target="consultantplus://offline/ref=9DEC2CDE4A9FB1613EA72E34D30A4CAE8744BAB2633AFB3611BA857DD41CE5323C98CE888D56236583CB0ED3E010AE2020F1V7I" TargetMode="External"/><Relationship Id="rId5" Type="http://schemas.openxmlformats.org/officeDocument/2006/relationships/hyperlink" Target="consultantplus://offline/ref=CE5DB5B287AA75E4986542C62F9A8047E67867B9006C792EC3C9AE0998F63AFF65E3B504012E89EA9FDABEC49E279E253E9F185B557AzE6FJ" TargetMode="External"/><Relationship Id="rId6" Type="http://schemas.openxmlformats.org/officeDocument/2006/relationships/hyperlink" Target="consultantplus://offline/ref=CE5DB5B287AA75E498655CCB39F6DE43EA703CBC036D767E9F9FA85EC7A63CAA25A3B351546EDCECCA8DE49192389A3B3Cz96DJ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Application>LibreOffice/6.3.4.2$Windows_x86 LibreOffice_project/60da17e045e08f1793c57c00ba83cdfce946d0aa</Application>
  <Pages>5</Pages>
  <Words>881</Words>
  <Characters>6941</Characters>
  <CharactersWithSpaces>7920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2023-01-16T08:21:00Z</dcterms:created>
  <dc:creator>Теллина</dc:creator>
  <dc:description/>
  <dc:language>ru-RU</dc:language>
  <cp:lastModifiedBy/>
  <cp:lastPrinted>2023-01-16T14:41:00Z</cp:lastPrinted>
  <dcterms:modified xsi:type="dcterms:W3CDTF">2023-03-20T11:16:30Z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