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hyperlink r:id="rId1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 Федеральной службы государственной регистрации, кадастра и картографии от 14 июня 2022 г. N П/0226 "Об установлении критериев соответствия методическим указаниям о государственной кадастровой оценке проекта отчета, обновленной версии проекта отчета, составленных бюджетным учреждением, созданным субъектом Российской Федерации и наделенным полномочиями, связанными с определением кадастровой стоимости"</w:t>
        </w:r>
      </w:hyperlink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В соответствии с </w:t>
      </w:r>
      <w:hyperlink r:id="rId1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частью 29 статьи 14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Федерального закона от 3 июля 2016 г. N 237-ФЗ "О государственной кадастровой оценке" (Собрание законодательства Российской Федерации, 2016, N 27, ст. 4170; 2020, N 31, ст. 5028), </w:t>
      </w:r>
      <w:hyperlink r:id="rId1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пунктом 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Положения о Федеральной службе государственной регистрации, кадастра и картографии, утвержденного </w:t>
      </w:r>
      <w:hyperlink r:id="rId1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постановлением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Правительства Российской Федерации от 1 июня 2009 г. N 457 (Собрание законодательства Российской Федерации, 2009, N 25, ст. 3052; 2021, N 47, ст. 7848), приказываю: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1" w:name="sub_1"/>
      <w:r>
        <w:rPr>
          <w:rFonts w:ascii="TimesNewRomanCYR" w:hAnsi="TimesNewRomanCYR" w:eastAsia="TimesNewRomanCYR" w:cs="TimesNewRomanCYR"/>
          <w:sz w:val="24"/>
        </w:rPr>
        <w:t xml:space="preserve">1. Установить критерии соответствия методическим указаниям о государственной кадастровой оценке проекта отчета, обновленной версии проекта отчета, составленных бюджетным учреждением, созданным субъектом Российской Федерации и наделенным полномочиями, связанными с определением кадастровой стоимости, согласно  к настоящему приказу.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"/>
      <w:bookmarkStart w:id="2" w:name="sub_2"/>
      <w:r>
        <w:rPr>
          <w:rFonts w:ascii="TimesNewRomanCYR" w:hAnsi="TimesNewRomanCYR" w:eastAsia="TimesNewRomanCYR" w:cs="TimesNewRomanCYR"/>
          <w:sz w:val="24"/>
        </w:rPr>
        <w:t xml:space="preserve">2. Признать утратившим силу </w:t>
      </w:r>
      <w:hyperlink r:id="rId1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Росреестра от 6 августа 2020 г. N П/0279 "Об установлении критериев соответствия методическим указаниям о государственной кадастровой оценке проекта отчета, обновленной версии проекта отчета, подготовленных бюджетным учреждением, созданным субъектом Российской Федерации и наделенным полномочиями, связанными с определением кадастровой стоимости" (зарегистрирован Минюстом России 1 октября 2020 г., регистрационный N 60179).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2"/>
    </w:p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left w:w="0" w:type="dxa"/>
          <w:right w:w="0" w:type="dxa"/>
        </w:tblCellMar>
      </w:tblPr>
      <w:tblGrid>
        <w:gridCol w:w="6867"/>
        <w:gridCol w:w="3433"/>
      </w:tblGrid>
      <w:tr>
        <w:tc>
          <w:tcPr>
            <w:tcW w:w="6867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7"/>
              <w:spacing w:before="0" w:after="0" w:line="240" w:lineRule="auto"/>
              <w:ind w:firstLine="0"/>
              <w:jc w:val="lef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Руководитель</w:t>
            </w:r>
          </w:p>
        </w:tc>
        <w:tc>
          <w:tcPr>
            <w:tcW w:w="3433" w:type="dxa"/>
            <w:tcBorders>
              <w:top w:val="none"/>
              <w:left w:val="none"/>
              <w:bottom w:val="none"/>
              <w:right w:val="none"/>
            </w:tcBorders>
            <w:textDirection w:val="lrTb"/>
            <w:vAlign w:val="top"/>
          </w:tcPr>
          <w:p>
            <w:pPr>
              <w:pStyle w:val="Style_5"/>
              <w:spacing w:before="0" w:after="0" w:line="240" w:lineRule="auto"/>
              <w:ind w:firstLine="0"/>
              <w:jc w:val="right"/>
              <w:rPr>
                <w:rFonts w:ascii="TimesNewRomanCYR" w:hAnsi="TimesNewRomanCYR" w:eastAsia="TimesNewRomanCYR" w:cs="TimesNewRomanCYR"/>
                <w:sz w:val="24"/>
              </w:rPr>
            </w:pPr>
            <w:r>
              <w:rPr>
                <w:rFonts w:ascii="TimesNewRomanCYR" w:hAnsi="TimesNewRomanCYR" w:eastAsia="TimesNewRomanCYR" w:cs="TimesNewRomanCYR"/>
                <w:sz w:val="24"/>
              </w:rPr>
              <w:t xml:space="preserve">О.А. Скуфинский</w:t>
            </w:r>
          </w:p>
        </w:tc>
      </w:tr>
    </w:tbl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7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Зарегистрировано в Минюсте РФ 14 июля 2022 г.</w:t>
      </w:r>
    </w:p>
    <w:p>
      <w:pPr>
        <w:pStyle w:val="Style_7"/>
        <w:spacing w:before="0" w:after="0" w:line="240" w:lineRule="auto"/>
        <w:ind w:firstLine="0"/>
        <w:jc w:val="left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Регистрационный N 69275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698"/>
        <w:jc w:val="right"/>
        <w:rPr>
          <w:rFonts w:ascii="TimesNewRomanCYR" w:hAnsi="TimesNewRomanCYR" w:eastAsia="TimesNewRomanCYR" w:cs="TimesNewRomanCYR"/>
          <w:sz w:val="24"/>
        </w:rPr>
      </w:pPr>
      <w:bookmarkStart w:id="3" w:name="sub_1000"/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Приложение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  Росреестра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от 14 июня 2022 г. N П/0226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3"/>
    </w:p>
    <w:p>
      <w:pPr>
        <w:pStyle w:val="Style_4"/>
        <w:spacing w:before="108" w:after="108" w:line="240" w:lineRule="auto"/>
        <w:ind w:firstLine="720"/>
        <w:jc w:val="center"/>
        <w:rPr>
          <w:rFonts w:ascii="TimesNewRomanCYR" w:hAnsi="TimesNewRomanCYR" w:eastAsia="TimesNewRomanCYR" w:cs="TimesNewRomanCYR"/>
          <w:b/>
          <w:color w:val="26282f"/>
          <w:sz w:val="24"/>
        </w:rPr>
      </w:pP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Критерии</w:t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br/>
      </w:r>
      <w:r>
        <w:rPr>
          <w:rFonts w:ascii="TimesNewRomanCYR" w:hAnsi="TimesNewRomanCYR" w:eastAsia="TimesNewRomanCYR" w:cs="TimesNewRomanCYR"/>
          <w:b/>
          <w:color w:val="26282f"/>
          <w:sz w:val="24"/>
        </w:rPr>
        <w:t xml:space="preserve">соответствия методическим указаниям о государственной кадастровой оценке проекта отчета, обновленной версии проекта отчета, составленных бюджетным учреждением, созданным субъектом Российской Федерации и наделенным полномочиями, связанными с определением кадастровой стоимости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При проведении проверки на соответствие </w:t>
      </w:r>
      <w:hyperlink r:id="rId1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Методическим указаниям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о государственной кадастровой оценке, утвержденным </w:t>
      </w:r>
      <w:hyperlink r:id="rId1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приказом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Росреестра от 4 августа 2021 г. N П/0336</w:t>
      </w:r>
      <w:r>
        <w:rPr>
          <w:rFonts w:ascii="TimesNewRomanCYR" w:hAnsi="TimesNewRomanCYR" w:eastAsia="TimesNewRomanCYR" w:cs="TimesNewRomanCYR"/>
          <w:sz w:val="24"/>
          <w:vertAlign w:val="superscript"/>
        </w:rPr>
        <w:t xml:space="preserve"> </w:t>
      </w:r>
      <w:r>
        <w:rPr>
          <w:rFonts w:ascii="TimesNewRomanCYR" w:hAnsi="TimesNewRomanCYR" w:eastAsia="TimesNewRomanCYR" w:cs="TimesNewRomanCYR"/>
          <w:sz w:val="24"/>
        </w:rPr>
        <w:t xml:space="preserve"> (далее - Методические указания), проекта отчета, обновленной версии проекта отчета, составленных бюджетным учреждением, созданным субъектом Российской Федерации и наделенным полномочиями, связанными с определением кадастровой стоимости, федеральным органом исполнительной власти, осуществляющим государственный кадастровый учет и государственную регистрацию прав (далее - орган регистрации прав), применяются следующие критерии: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4" w:name="sub_1001"/>
      <w:r>
        <w:rPr>
          <w:rFonts w:ascii="TimesNewRomanCYR" w:hAnsi="TimesNewRomanCYR" w:eastAsia="TimesNewRomanCYR" w:cs="TimesNewRomanCYR"/>
          <w:sz w:val="24"/>
        </w:rPr>
        <w:t xml:space="preserve">1. Наличие обоснования выбора подходов и методов, использованных для определения кадастровой стоимости для групп (подгрупп) объектов недвижимости (</w:t>
      </w:r>
      <w:hyperlink r:id="rId1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3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4"/>
      <w:bookmarkStart w:id="5" w:name="sub_1002"/>
      <w:r>
        <w:rPr>
          <w:rFonts w:ascii="TimesNewRomanCYR" w:hAnsi="TimesNewRomanCYR" w:eastAsia="TimesNewRomanCYR" w:cs="TimesNewRomanCYR"/>
          <w:sz w:val="24"/>
        </w:rPr>
        <w:t xml:space="preserve">2. Наличие согласования результатов, полученных в случае применения различных подходов к оценке. В случае проведения согласования путем сопоставления результатов, полученных с применением различных подходов, наличие обоснования выбора способа согласования (</w:t>
      </w:r>
      <w:hyperlink r:id="rId1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5"/>
      <w:bookmarkStart w:id="6" w:name="sub_1003"/>
      <w:r>
        <w:rPr>
          <w:rFonts w:ascii="TimesNewRomanCYR" w:hAnsi="TimesNewRomanCYR" w:eastAsia="TimesNewRomanCYR" w:cs="TimesNewRomanCYR"/>
          <w:sz w:val="24"/>
        </w:rPr>
        <w:t xml:space="preserve">3. Отсутствие в рыночной информации, использованной при определении кадастровой стоимости, сведений о событиях, произошедших после даты определения кадастровой стоимости (по результатам выборочной проверки 0,1% информации от общего объема сведений; </w:t>
      </w:r>
      <w:hyperlink r:id="rId20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6"/>
      <w:bookmarkStart w:id="7" w:name="sub_1004"/>
      <w:r>
        <w:rPr>
          <w:rFonts w:ascii="TimesNewRomanCYR" w:hAnsi="TimesNewRomanCYR" w:eastAsia="TimesNewRomanCYR" w:cs="TimesNewRomanCYR"/>
          <w:sz w:val="24"/>
        </w:rPr>
        <w:t xml:space="preserve">4. Соответствие перечня мероприятий по определению кадастровой стоимости требованиям Методических указаний (</w:t>
      </w:r>
      <w:hyperlink r:id="rId21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15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7"/>
      <w:bookmarkStart w:id="8" w:name="sub_1005"/>
      <w:r>
        <w:rPr>
          <w:rFonts w:ascii="TimesNewRomanCYR" w:hAnsi="TimesNewRomanCYR" w:eastAsia="TimesNewRomanCYR" w:cs="TimesNewRomanCYR"/>
          <w:sz w:val="24"/>
        </w:rPr>
        <w:t xml:space="preserve">5. Наличие результатов сбора и анализа информации о рынке объектов недвижимости, а также анализа информации, не относящейся непосредственно к объектам недвижимости, подлежащим государственной кадастровой оценке, но влияющей на их стоимость (</w:t>
      </w:r>
      <w:hyperlink r:id="rId22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глава IV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указаний), в том числе: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8"/>
      <w:r>
        <w:rPr>
          <w:rFonts w:ascii="TimesNewRomanCYR" w:hAnsi="TimesNewRomanCYR" w:eastAsia="TimesNewRomanCYR" w:cs="TimesNewRomanCYR"/>
          <w:sz w:val="24"/>
        </w:rPr>
        <w:t xml:space="preserve">обзора факторов, оказывающих влияние на стоимость объектов недвижимости, в том числе экономических, социальных, экологических;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r>
        <w:rPr>
          <w:rFonts w:ascii="TimesNewRomanCYR" w:hAnsi="TimesNewRomanCYR" w:eastAsia="TimesNewRomanCYR" w:cs="TimesNewRomanCYR"/>
          <w:sz w:val="24"/>
        </w:rPr>
        <w:t xml:space="preserve">обзора состояния рынка недвижимости (в целом), сегмента (сегментов) рынка объектов недвижимости.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Start w:id="9" w:name="sub_1006"/>
      <w:r>
        <w:rPr>
          <w:rFonts w:ascii="TimesNewRomanCYR" w:hAnsi="TimesNewRomanCYR" w:eastAsia="TimesNewRomanCYR" w:cs="TimesNewRomanCYR"/>
          <w:sz w:val="24"/>
        </w:rPr>
        <w:t xml:space="preserve">6. Наличие результатов анализа ценообразующих факторов объектов недвижимости (далее - ценообразующие факторы), оказывающих влияние на стоимость объектов недвижимости, в форме таблиц, содержащих состав ценообразующих факторов в сегменте (сегментах) рынка объектов недвижимости, наличие обоснования состава таких ценообразующих факторов (</w:t>
      </w:r>
      <w:hyperlink r:id="rId23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26.3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9"/>
      <w:bookmarkStart w:id="10" w:name="sub_1007"/>
      <w:r>
        <w:rPr>
          <w:rFonts w:ascii="TimesNewRomanCYR" w:hAnsi="TimesNewRomanCYR" w:eastAsia="TimesNewRomanCYR" w:cs="TimesNewRomanCYR"/>
          <w:sz w:val="24"/>
        </w:rPr>
        <w:t xml:space="preserve">7. Единообразие в структурировании рыночной информации (</w:t>
      </w:r>
      <w:hyperlink r:id="rId24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26.4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0"/>
      <w:bookmarkStart w:id="11" w:name="sub_1008"/>
      <w:r>
        <w:rPr>
          <w:rFonts w:ascii="TimesNewRomanCYR" w:hAnsi="TimesNewRomanCYR" w:eastAsia="TimesNewRomanCYR" w:cs="TimesNewRomanCYR"/>
          <w:sz w:val="24"/>
        </w:rPr>
        <w:t xml:space="preserve">8. Наличие сведений об источниках информации для каждого ценообразующего фактора (</w:t>
      </w:r>
      <w:hyperlink r:id="rId25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31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1"/>
      <w:bookmarkStart w:id="12" w:name="sub_1009"/>
      <w:r>
        <w:rPr>
          <w:rFonts w:ascii="TimesNewRomanCYR" w:hAnsi="TimesNewRomanCYR" w:eastAsia="TimesNewRomanCYR" w:cs="TimesNewRomanCYR"/>
          <w:sz w:val="24"/>
        </w:rPr>
        <w:t xml:space="preserve">9. Наличие информации о согласовании сведений о фактическом использовании объектов недвижимости, подлежащих государственной кадастровой оценке, в случае проведения такого согласования (</w:t>
      </w:r>
      <w:hyperlink r:id="rId26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23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2"/>
      <w:bookmarkStart w:id="13" w:name="sub_1010"/>
      <w:r>
        <w:rPr>
          <w:rFonts w:ascii="TimesNewRomanCYR" w:hAnsi="TimesNewRomanCYR" w:eastAsia="TimesNewRomanCYR" w:cs="TimesNewRomanCYR"/>
          <w:sz w:val="24"/>
        </w:rPr>
        <w:t xml:space="preserve">10. Наличие кодов расчета видов использования для земельных участков (</w:t>
      </w:r>
      <w:hyperlink r:id="rId27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пункт 56.2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3"/>
      <w:bookmarkStart w:id="14" w:name="sub_1011"/>
      <w:r>
        <w:rPr>
          <w:rFonts w:ascii="TimesNewRomanCYR" w:hAnsi="TimesNewRomanCYR" w:eastAsia="TimesNewRomanCYR" w:cs="TimesNewRomanCYR"/>
          <w:sz w:val="24"/>
        </w:rPr>
        <w:t xml:space="preserve">11. Наличие обоснования отнесения объектов недвижимости к соответствующим группам (подгруппам; </w:t>
      </w:r>
      <w:hyperlink r:id="rId28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глава IX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4"/>
      <w:bookmarkStart w:id="15" w:name="sub_1012"/>
      <w:r>
        <w:rPr>
          <w:rFonts w:ascii="TimesNewRomanCYR" w:hAnsi="TimesNewRomanCYR" w:eastAsia="TimesNewRomanCYR" w:cs="TimesNewRomanCYR"/>
          <w:sz w:val="24"/>
        </w:rPr>
        <w:t xml:space="preserve">12. Наличие информации о контроле качества результатов определения кадастровой стоимости (</w:t>
      </w:r>
      <w:hyperlink r:id="rId29">
        <w:r>
          <w:rPr>
            <w:rFonts w:ascii="TimesNewRomanCYR" w:hAnsi="TimesNewRomanCYR" w:eastAsia="TimesNewRomanCYR" w:cs="TimesNewRomanCYR"/>
            <w:b w:val="0"/>
            <w:color w:val="106bbe"/>
            <w:sz w:val="24"/>
          </w:rPr>
          <w:t xml:space="preserve">глава XI</w:t>
        </w:r>
      </w:hyperlink>
      <w:r>
        <w:rPr>
          <w:rFonts w:ascii="TimesNewRomanCYR" w:hAnsi="TimesNewRomanCYR" w:eastAsia="TimesNewRomanCYR" w:cs="TimesNewRomanCYR"/>
          <w:sz w:val="24"/>
        </w:rPr>
        <w:t xml:space="preserve"> Методических указаний).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5"/>
    </w:p>
    <w:p>
      <w:pPr>
        <w:pStyle w:val="Style_6"/>
        <w:spacing w:before="0" w:after="0" w:line="240" w:lineRule="auto"/>
        <w:ind w:firstLine="0"/>
        <w:jc w:val="left"/>
        <w:rPr>
          <w:rFonts w:ascii="CourierNew" w:hAnsi="CourierNew" w:eastAsia="CourierNew" w:cs="CourierNew"/>
          <w:sz w:val="22"/>
        </w:rPr>
      </w:pPr>
      <w:r>
        <w:rPr>
          <w:rFonts w:ascii="CourierNew" w:hAnsi="CourierNew" w:eastAsia="CourierNew" w:cs="CourierNew"/>
          <w:sz w:val="22"/>
        </w:rPr>
        <w:t xml:space="preserve">──────────────────────────────</w:t>
      </w:r>
    </w:p>
    <w:p>
      <w:pPr>
        <w:pStyle w:val="Style_8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0"/>
        </w:rPr>
      </w:pPr>
      <w:bookmarkStart w:id="16" w:name="sub_1111"/>
      <w:r>
        <w:rPr>
          <w:rFonts w:ascii="TimesNewRomanCYR" w:hAnsi="TimesNewRomanCYR" w:eastAsia="TimesNewRomanCYR" w:cs="TimesNewRomanCYR"/>
          <w:sz w:val="20"/>
          <w:vertAlign w:val="superscript"/>
        </w:rPr>
        <w:t xml:space="preserve">1</w:t>
      </w:r>
      <w:r>
        <w:rPr>
          <w:rFonts w:ascii="TimesNewRomanCYR" w:hAnsi="TimesNewRomanCYR" w:eastAsia="TimesNewRomanCYR" w:cs="TimesNewRomanCYR"/>
          <w:sz w:val="20"/>
        </w:rPr>
        <w:t xml:space="preserve"> Зарегистрирован Минюстом России 17 декабря 2021 г., регистрационный N 66421.</w:t>
      </w:r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  <w:bookmarkEnd w:id="16"/>
    </w:p>
    <w:p>
      <w:pPr>
        <w:pStyle w:val="Style_1"/>
        <w:spacing w:before="0" w:after="0" w:line="240" w:lineRule="auto"/>
        <w:ind w:firstLine="720"/>
        <w:jc w:val="both"/>
        <w:rPr>
          <w:rFonts w:ascii="TimesNewRomanCYR" w:hAnsi="TimesNewRomanCYR" w:eastAsia="TimesNewRomanCYR" w:cs="TimesNewRomanCYR"/>
          <w:sz w:val="24"/>
        </w:rPr>
      </w:pPr>
    </w:p>
    <w:sectPr>
      <w:headerReference w:type="default" r:id="rId9"/>
      <w:footerReference w:type="default" r:id="rId10"/>
      <w:type w:val="nextPage"/>
      <w:pgSz w:w="11900" w:h="16800"/>
      <w:pgMar w:top="1440" w:right="800" w:bottom="1440" w:left="800" w:header="720" w:footer="720" w:gutter="0"/>
      <w:cols w:num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  <w:end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">
    <w:panose1 w:val="02000603000000000000"/>
  </w:font>
  <w:font w:name="CourierNew">
    <w:panose1 w:val="02000603000000000000"/>
  </w:font>
  <w:font w:name="TimesNewRomanCYR">
    <w:panose1 w:val="02000603000000000000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none" w:color="auto" w:sz="0" w:space="0"/>
        <w:insideV w:val="none" w:color="auto" w:sz="0" w:space="0"/>
      </w:tblBorders>
      <w:tblLayout w:type="autofit"/>
      <w:tblCellMar>
        <w:left w:w="0" w:type="dxa"/>
        <w:right w:w="0" w:type="dxa"/>
      </w:tblCellMar>
    </w:tblPr>
    <w:tblGrid>
      <w:gridCol w:w="3433"/>
      <w:gridCol w:w="3433"/>
      <w:gridCol w:w="3433"/>
    </w:tblGrid>
    <w:tr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lef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fldChar w:fldCharType="begin"/>
          </w:r>
          <w:r>
            <w:rPr>
              <w:rFonts w:ascii="TimesNewRoman" w:hAnsi="TimesNewRoman" w:eastAsia="TimesNewRoman" w:cs="TimesNewRoman"/>
              <w:sz w:val="20"/>
            </w:rPr>
            <w:instrText xml:space="preserve">CREATEDATE  \@ "dd.MM.yyyy"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0"/>
            </w:rPr>
            <w:t xml:space="preserve">05.03.2025</w:t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 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center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0"/>
            </w:rPr>
            <w:t xml:space="preserve">Система ГАРАНТ</w:t>
          </w:r>
        </w:p>
      </w:tc>
      <w:tc>
        <w:tcPr>
          <w:tcW w:w="3433" w:type="dxa"/>
          <w:tcBorders>
            <w:top w:val="none"/>
            <w:left w:val="none"/>
            <w:bottom w:val="none"/>
            <w:right w:val="none"/>
          </w:tcBorders>
          <w:shd w:val="clear"/>
          <w:textDirection w:val="lrTb"/>
          <w:vAlign w:val="top"/>
        </w:tcPr>
        <w:p>
          <w:pPr>
            <w:pStyle w:val="Style_11"/>
            <w:spacing w:before="0" w:after="0" w:line="240" w:lineRule="auto"/>
            <w:ind w:left="0" w:firstLine="0"/>
            <w:jc w:val="right"/>
            <w:rPr>
              <w:rFonts w:ascii="TimesNewRoman" w:hAnsi="TimesNewRoman" w:eastAsia="TimesNewRoman" w:cs="TimesNewRoman"/>
              <w:sz w:val="20"/>
            </w:rPr>
          </w:pP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PAGE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  <w:r>
            <w:rPr>
              <w:rFonts w:ascii="TimesNewRoman" w:hAnsi="TimesNewRoman" w:eastAsia="TimesNewRoman" w:cs="TimesNewRoman"/>
              <w:sz w:val="20"/>
            </w:rPr>
            <w:t xml:space="preserve">/</w:t>
          </w:r>
          <w:r>
            <w:rPr>
              <w:rFonts w:ascii="TimesNewRoman" w:hAnsi="TimesNewRoman" w:eastAsia="TimesNewRoman" w:cs="TimesNewRoman"/>
              <w:sz w:val="24"/>
            </w:rPr>
            <w:fldChar w:fldCharType="begin"/>
          </w:r>
          <w:r>
            <w:rPr>
              <w:rFonts w:ascii="TimesNewRoman" w:hAnsi="TimesNewRoman" w:eastAsia="TimesNewRoman" w:cs="TimesNewRoman"/>
              <w:sz w:val="24"/>
            </w:rPr>
            <w:instrText xml:space="preserve">NUMPAGES  \* Arabic  \* MERGEFORMAT </w:instrText>
          </w:r>
          <w:r>
            <w:fldChar w:fldCharType="separate"/>
          </w:r>
          <w:r>
            <w:rPr>
              <w:rFonts w:ascii="TimesNewRoman" w:hAnsi="TimesNewRoman" w:eastAsia="TimesNewRoman" w:cs="TimesNewRoman"/>
              <w:sz w:val="24"/>
            </w:rPr>
          </w:r>
          <w:r>
            <w:fldChar w:fldCharType="end"/>
          </w:r>
        </w:p>
      </w:tc>
    </w:tr>
  </w:tbl>
  <w:p>
    <w:pPr>
      <w:pStyle w:val="Style_1"/>
      <w:spacing w:before="0" w:after="0" w:line="240" w:lineRule="auto"/>
      <w:ind w:firstLine="720"/>
      <w:jc w:val="left"/>
      <w:rPr>
        <w:rFonts w:ascii="Arial" w:hAnsi="Arial" w:eastAsia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0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separator/>
      </w:r>
    </w:p>
  </w:footnote>
  <w:footnote w:type="continuationSeparator" w:id="1">
    <w:p>
      <w:pPr>
        <w:pStyle w:val="Style_1"/>
        <w:spacing w:before="0" w:after="0" w:line="240" w:lineRule="auto"/>
        <w:ind w:firstLine="720"/>
        <w:jc w:val="left"/>
        <w:rPr>
          <w:rFonts w:ascii="Arial" w:hAnsi="Arial" w:eastAsia="Arial" w:cs="Arial"/>
          <w:sz w:val="24"/>
        </w:rPr>
      </w:pPr>
      <w:r>
        <w:rPr>
          <w:rFonts w:ascii="Arial" w:hAnsi="Arial" w:eastAsia="Arial" w:cs="Arial"/>
          <w:sz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Style_10"/>
      <w:spacing w:before="0" w:after="0" w:line="240" w:lineRule="auto"/>
      <w:ind w:left="0" w:firstLine="0"/>
      <w:jc w:val="left"/>
      <w:rPr>
        <w:rFonts w:ascii="TimesNewRoman" w:hAnsi="TimesNewRoman" w:eastAsia="TimesNewRoman" w:cs="TimesNewRoman"/>
        <w:sz w:val="20"/>
      </w:rPr>
    </w:pPr>
    <w:r>
      <w:rPr>
        <w:rFonts w:ascii="TimesNewRoman" w:hAnsi="TimesNewRoman" w:eastAsia="TimesNewRoman" w:cs="TimesNewRoman"/>
        <w:sz w:val="20"/>
      </w:rPr>
      <w:t xml:space="preserve">Приказ Федеральной службы государственной регистрации, кадастра и картографии от 14 июня 2022 г. N П/0226…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859274983">
    <w:multiLevelType w:val="hybridMultilevel"/>
    <w:lvl w:ilvl="0">
      <w:start w:val="1"/>
      <w:numFmt w:val="bullet"/>
      <w:suff w:val="tab"/>
      <w:lvlJc w:val="left"/>
      <w:pPr>
        <w:ind w:hanging="360"/>
      </w:pPr>
    </w:lvl>
  </w:abstractNum>
  <w:num w:numId="1">
    <w:abstractNumId w:val="185927498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forgetLastTabAlignment w:val="true"/>
    <w:compatSetting w:name="compatibilityMode" w:uri="http://schemas.microsoft.com/office/word" w:val="1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hAnsi="Arial" w:eastAsia="Arial" w:cs="Arial"/>
        <w:sz w:val="24"/>
      </w:rPr>
    </w:rPrDefault>
    <w:pPrDefault>
      <w:pPr>
        <w:spacing w:before="0" w:after="0" w:line="240" w:lineRule="auto"/>
        <w:jc w:val="lef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Style_1">
    <w:name w:val="Normal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4"/>
    </w:rPr>
  </w:style>
  <w:style w:type="character" w:styleId="Style_2">
    <w:name w:val="Цветовое выделение"/>
    <w:basedOn w:val="Style_9"/>
    <w:rPr>
      <w:rFonts w:ascii="Arial" w:hAnsi="Arial" w:eastAsia="Arial" w:cs="Arial"/>
      <w:b/>
      <w:color w:val="26282f"/>
      <w:sz w:val="24"/>
    </w:rPr>
  </w:style>
  <w:style w:type="character" w:styleId="Style_3">
    <w:name w:val="Гипертекстовая ссылка"/>
    <w:basedOn w:val="Style_2"/>
    <w:rPr>
      <w:rFonts w:ascii="Arial" w:hAnsi="Arial" w:eastAsia="Arial" w:cs="Arial"/>
      <w:b w:val="0"/>
      <w:color w:val="106bbe"/>
      <w:sz w:val="24"/>
    </w:rPr>
  </w:style>
  <w:style w:type="paragraph" w:styleId="Style_4">
    <w:name w:val="heading 1"/>
    <w:basedOn w:val="Style_1"/>
    <w:pPr>
      <w:spacing w:before="108" w:after="108" w:line="240" w:lineRule="auto"/>
      <w:jc w:val="center"/>
    </w:pPr>
    <w:rPr>
      <w:rFonts w:ascii="TimesNewRomanCYR" w:hAnsi="TimesNewRomanCYR" w:eastAsia="TimesNewRomanCYR" w:cs="TimesNewRomanCYR"/>
      <w:b/>
      <w:color w:val="26282f"/>
      <w:sz w:val="24"/>
    </w:rPr>
  </w:style>
  <w:style w:type="paragraph" w:styleId="Style_5">
    <w:name w:val="Нормальный (таблица)"/>
    <w:basedOn w:val="Style_1"/>
    <w:pPr>
      <w:spacing w:before="0" w:after="0" w:line="240" w:lineRule="auto"/>
      <w:jc w:val="both"/>
    </w:pPr>
    <w:rPr>
      <w:rFonts w:ascii="TimesNewRomanCYR" w:hAnsi="TimesNewRomanCYR" w:eastAsia="TimesNewRomanCYR" w:cs="TimesNewRomanCYR"/>
      <w:sz w:val="24"/>
    </w:rPr>
  </w:style>
  <w:style w:type="paragraph" w:styleId="Style_6">
    <w:name w:val="Таблицы (моноширинный)"/>
    <w:basedOn w:val="Style_1"/>
    <w:pPr>
      <w:spacing w:before="0" w:after="0" w:line="240" w:lineRule="auto"/>
      <w:ind w:firstLine="0"/>
      <w:jc w:val="left"/>
    </w:pPr>
    <w:rPr>
      <w:rFonts w:ascii="CourierNew" w:hAnsi="CourierNew" w:eastAsia="CourierNew" w:cs="CourierNew"/>
      <w:sz w:val="24"/>
    </w:rPr>
  </w:style>
  <w:style w:type="paragraph" w:styleId="Style_7">
    <w:name w:val="Прижатый влево"/>
    <w:basedOn w:val="Style_1"/>
    <w:pPr>
      <w:spacing w:before="0" w:after="0" w:line="240" w:lineRule="auto"/>
      <w:ind w:firstLine="0"/>
      <w:jc w:val="left"/>
    </w:pPr>
    <w:rPr>
      <w:rFonts w:ascii="TimesNewRomanCYR" w:hAnsi="TimesNewRomanCYR" w:eastAsia="TimesNewRomanCYR" w:cs="TimesNewRomanCYR"/>
      <w:sz w:val="24"/>
    </w:rPr>
  </w:style>
  <w:style w:type="paragraph" w:styleId="Style_8">
    <w:name w:val="Сноска"/>
    <w:basedOn w:val="Style_1"/>
    <w:pPr>
      <w:spacing w:before="0" w:after="0" w:line="240" w:lineRule="auto"/>
      <w:ind w:firstLine="720"/>
      <w:jc w:val="both"/>
    </w:pPr>
    <w:rPr>
      <w:rFonts w:ascii="TimesNewRomanCYR" w:hAnsi="TimesNewRomanCYR" w:eastAsia="TimesNewRomanCYR" w:cs="TimesNewRomanCYR"/>
      <w:sz w:val="20"/>
    </w:rPr>
  </w:style>
  <w:style w:type="character" w:styleId="Style_9">
    <w:name w:val="Цветовое выделение для Текст"/>
    <w:basedOn w:val="Style_9"/>
    <w:rPr>
      <w:rFonts w:ascii="TimesNewRomanCYR" w:hAnsi="TimesNewRomanCYR" w:eastAsia="TimesNewRomanCYR" w:cs="TimesNewRomanCYR"/>
      <w:sz w:val="24"/>
    </w:rPr>
  </w:style>
  <w:style w:type="paragraph" w:styleId="Style_10">
    <w:name w:val="header"/>
    <w:basedOn w:val="Style_1"/>
    <w:pPr>
      <w:spacing w:before="0" w:after="0" w:line="240" w:lineRule="auto"/>
      <w:jc w:val="center"/>
    </w:pPr>
    <w:rPr>
      <w:rFonts w:ascii="TimesNewRoman" w:hAnsi="TimesNewRoman" w:eastAsia="TimesNewRoman" w:cs="TimesNewRoman"/>
      <w:sz w:val="20"/>
    </w:rPr>
  </w:style>
  <w:style w:type="paragraph" w:styleId="Style_11">
    <w:name w:val="footer"/>
    <w:basedOn w:val="Style_1"/>
    <w:pPr>
      <w:spacing w:before="0" w:after="0" w:line="240" w:lineRule="auto"/>
      <w:jc w:val="left"/>
    </w:pPr>
    <w:rPr>
      <w:rFonts w:ascii="TimesNewRoman" w:hAnsi="TimesNewRoman" w:eastAsia="TimesNewRoman" w:cs="TimesNewRoman"/>
      <w:sz w:val="20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hyperlink" Target="https://internet.garant.ru/document/redirect/404994125/0" TargetMode="External"/><Relationship Id="rId12" Type="http://schemas.openxmlformats.org/officeDocument/2006/relationships/hyperlink" Target="https://internet.garant.ru/document/redirect/71433956/1429" TargetMode="External"/><Relationship Id="rId13" Type="http://schemas.openxmlformats.org/officeDocument/2006/relationships/hyperlink" Target="https://internet.garant.ru/document/redirect/12167669/1001" TargetMode="External"/><Relationship Id="rId14" Type="http://schemas.openxmlformats.org/officeDocument/2006/relationships/hyperlink" Target="https://internet.garant.ru/document/redirect/12167669/0" TargetMode="External"/><Relationship Id="rId15" Type="http://schemas.openxmlformats.org/officeDocument/2006/relationships/hyperlink" Target="https://internet.garant.ru/document/redirect/74710340/0" TargetMode="External"/><Relationship Id="rId16" Type="http://schemas.openxmlformats.org/officeDocument/2006/relationships/hyperlink" Target="https://internet.garant.ru/document/redirect/403258234/1000" TargetMode="External"/><Relationship Id="rId17" Type="http://schemas.openxmlformats.org/officeDocument/2006/relationships/hyperlink" Target="https://internet.garant.ru/document/redirect/403258234/0" TargetMode="External"/><Relationship Id="rId18" Type="http://schemas.openxmlformats.org/officeDocument/2006/relationships/hyperlink" Target="https://internet.garant.ru/document/redirect/403258234/1003" TargetMode="External"/><Relationship Id="rId19" Type="http://schemas.openxmlformats.org/officeDocument/2006/relationships/hyperlink" Target="https://internet.garant.ru/document/redirect/403258234/1004" TargetMode="External"/><Relationship Id="rId20" Type="http://schemas.openxmlformats.org/officeDocument/2006/relationships/hyperlink" Target="https://internet.garant.ru/document/redirect/403258234/1005" TargetMode="External"/><Relationship Id="rId21" Type="http://schemas.openxmlformats.org/officeDocument/2006/relationships/hyperlink" Target="https://internet.garant.ru/document/redirect/403258234/1015" TargetMode="External"/><Relationship Id="rId22" Type="http://schemas.openxmlformats.org/officeDocument/2006/relationships/hyperlink" Target="https://internet.garant.ru/document/redirect/403258234/400" TargetMode="External"/><Relationship Id="rId23" Type="http://schemas.openxmlformats.org/officeDocument/2006/relationships/hyperlink" Target="https://internet.garant.ru/document/redirect/403258234/10263" TargetMode="External"/><Relationship Id="rId24" Type="http://schemas.openxmlformats.org/officeDocument/2006/relationships/hyperlink" Target="https://internet.garant.ru/document/redirect/403258234/10264" TargetMode="External"/><Relationship Id="rId25" Type="http://schemas.openxmlformats.org/officeDocument/2006/relationships/hyperlink" Target="https://internet.garant.ru/document/redirect/403258234/1031" TargetMode="External"/><Relationship Id="rId26" Type="http://schemas.openxmlformats.org/officeDocument/2006/relationships/hyperlink" Target="https://internet.garant.ru/document/redirect/403258234/1023" TargetMode="External"/><Relationship Id="rId27" Type="http://schemas.openxmlformats.org/officeDocument/2006/relationships/hyperlink" Target="https://internet.garant.ru/document/redirect/403258234/10562" TargetMode="External"/><Relationship Id="rId28" Type="http://schemas.openxmlformats.org/officeDocument/2006/relationships/hyperlink" Target="https://internet.garant.ru/document/redirect/403258234/900" TargetMode="External"/><Relationship Id="rId29" Type="http://schemas.openxmlformats.org/officeDocument/2006/relationships/hyperlink" Target="https://internet.garant.ru/document/redirect/403258234/11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mio2-5@cap.ru</cp:lastModifiedBy>
</cp:coreProperties>
</file>