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D35" w:rsidRDefault="002F6D35" w:rsidP="002F6D35">
      <w:pPr>
        <w:spacing w:after="160" w:line="256" w:lineRule="auto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Информация на сайт</w:t>
      </w:r>
    </w:p>
    <w:p w:rsidR="002F6D35" w:rsidRDefault="002F6D35" w:rsidP="002F6D35">
      <w:pPr>
        <w:spacing w:after="160" w:line="256" w:lineRule="auto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Раздел «Полезная информация»</w:t>
      </w:r>
    </w:p>
    <w:p w:rsidR="002F6D35" w:rsidRDefault="002F6D35" w:rsidP="002F6D35">
      <w:pPr>
        <w:jc w:val="center"/>
      </w:pPr>
      <w:proofErr w:type="gramStart"/>
      <w:r>
        <w:t>Вопросы  организации</w:t>
      </w:r>
      <w:proofErr w:type="gramEnd"/>
      <w:r>
        <w:t xml:space="preserve">  дополнительного питания в школах через автоматы по выдаче пищевых продуктов (</w:t>
      </w:r>
      <w:proofErr w:type="spellStart"/>
      <w:r>
        <w:t>вендинговые</w:t>
      </w:r>
      <w:proofErr w:type="spellEnd"/>
      <w:r>
        <w:t xml:space="preserve">  аппараты).</w:t>
      </w:r>
    </w:p>
    <w:p w:rsidR="002F6D35" w:rsidRDefault="002F6D35" w:rsidP="002F6D35">
      <w:pPr>
        <w:jc w:val="center"/>
      </w:pP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      В организованных детских коллективах кроме основного организованного горячего питания осуществляется дополнительное питание.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bCs/>
          <w:color w:val="4C4C4C"/>
          <w:spacing w:val="1"/>
        </w:rPr>
      </w:pPr>
      <w:r>
        <w:rPr>
          <w:color w:val="2D2D2D"/>
          <w:spacing w:val="1"/>
        </w:rPr>
        <w:t xml:space="preserve">      При организации дополнительного питания в школах должны соблюдаться следующие требования: ассортимент дополнительного питания (буфетной продукции) должен приниматься с учетом «</w:t>
      </w:r>
      <w:r>
        <w:rPr>
          <w:bCs/>
          <w:color w:val="4C4C4C"/>
          <w:spacing w:val="1"/>
        </w:rPr>
        <w:t>Перечня пищевой продукции, которая не допускается при организации питания детей».</w:t>
      </w:r>
      <w:r>
        <w:rPr>
          <w:b/>
          <w:bCs/>
          <w:color w:val="4C4C4C"/>
          <w:spacing w:val="1"/>
        </w:rPr>
        <w:t xml:space="preserve"> </w:t>
      </w:r>
      <w:r>
        <w:rPr>
          <w:bCs/>
          <w:color w:val="4C4C4C"/>
          <w:spacing w:val="1"/>
        </w:rPr>
        <w:t>В этот перечень входят: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bCs/>
          <w:color w:val="4C4C4C"/>
          <w:spacing w:val="1"/>
        </w:rPr>
        <w:t>- п</w:t>
      </w:r>
      <w:r>
        <w:rPr>
          <w:color w:val="2D2D2D"/>
          <w:spacing w:val="1"/>
        </w:rPr>
        <w:t>ищевая продукция без маркировки и (или) с истекшими сроками годности и (или) признаками недоброкачественности,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пищевая продукция, не соответствующая требованиям технических регламентов Таможенного союза,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соки концентрированные диффузионные,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кофе натуральный,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тонизирующие напитки (в том числе энергетические),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арахис,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- газированные напитки, газированная вода питьевая,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-  жевательная резинка,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карамель, в том числе леденцовая,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- картофельные и кукурузные чипсы,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- снеки,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сырки творожные, изделия творожные более 9% жирности.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     При реализации через буфеты, соки, напитки, питьевая вода должны реализоваться в потребительской упаковке промышленного изготовления; разливать соки, напитки, питьевую воду в буфете не допускается.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     Для организации дополнительного питания детей в организованных детских коллективах допускается реализация пищевой продукции через аппараты автоматической выдачи (</w:t>
      </w:r>
      <w:proofErr w:type="spellStart"/>
      <w:r>
        <w:rPr>
          <w:color w:val="2D2D2D"/>
          <w:spacing w:val="1"/>
        </w:rPr>
        <w:t>вендинги</w:t>
      </w:r>
      <w:proofErr w:type="spellEnd"/>
      <w:r>
        <w:rPr>
          <w:color w:val="2D2D2D"/>
          <w:spacing w:val="1"/>
        </w:rPr>
        <w:t xml:space="preserve">).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     Под термином «</w:t>
      </w:r>
      <w:proofErr w:type="spellStart"/>
      <w:r>
        <w:rPr>
          <w:color w:val="2D2D2D"/>
          <w:spacing w:val="1"/>
        </w:rPr>
        <w:t>вендинг</w:t>
      </w:r>
      <w:proofErr w:type="spellEnd"/>
      <w:r>
        <w:rPr>
          <w:color w:val="2D2D2D"/>
          <w:spacing w:val="1"/>
        </w:rPr>
        <w:t xml:space="preserve">» понимают продажу актуальных для потребителя товаров, но не </w:t>
      </w:r>
      <w:proofErr w:type="gramStart"/>
      <w:r>
        <w:rPr>
          <w:color w:val="2D2D2D"/>
          <w:spacing w:val="1"/>
        </w:rPr>
        <w:t>с  задействованием</w:t>
      </w:r>
      <w:proofErr w:type="gramEnd"/>
      <w:r>
        <w:rPr>
          <w:color w:val="2D2D2D"/>
          <w:spacing w:val="1"/>
        </w:rPr>
        <w:t xml:space="preserve">  продавца, а через специальные автоматы.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    Через аппараты для автоматической выдачи допускаются к реализации пищевая продукция промышленного изготовления в потребительской (мелкоштучной) упаковке: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 - соки, нектары, стерилизованное молоко, молочная продукция, питьевая негазированная вода,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- орехи (кроме арахиса), сухофрукты,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а также в потребительской упаковке не более 100 грамм: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 xml:space="preserve">- мучные кондитерские изделия, в том числе обогащенные микронутриентами (витаминизированные) со сниженным содержание </w:t>
      </w:r>
      <w:proofErr w:type="spellStart"/>
      <w:r>
        <w:rPr>
          <w:color w:val="2D2D2D"/>
          <w:spacing w:val="1"/>
        </w:rPr>
        <w:t>глютена</w:t>
      </w:r>
      <w:proofErr w:type="spellEnd"/>
      <w:r>
        <w:rPr>
          <w:color w:val="2D2D2D"/>
          <w:spacing w:val="1"/>
        </w:rPr>
        <w:t xml:space="preserve">, лактозы, сахара) 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  <w:r>
        <w:rPr>
          <w:color w:val="2D2D2D"/>
          <w:spacing w:val="1"/>
        </w:rPr>
        <w:t>при соблюдении требований к условиям хранения и срокам годности пищевой продукции, а также при наличии документов, подтверждающих ее качество и безопасность.</w:t>
      </w:r>
      <w:r>
        <w:rPr>
          <w:color w:val="2D2D2D"/>
          <w:spacing w:val="1"/>
        </w:rPr>
        <w:br/>
        <w:t xml:space="preserve">    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места.</w:t>
      </w:r>
      <w:r>
        <w:rPr>
          <w:color w:val="2D2D2D"/>
          <w:spacing w:val="1"/>
        </w:rPr>
        <w:br/>
        <w:t xml:space="preserve">   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месяц, а также по мере загрязнения.</w:t>
      </w:r>
    </w:p>
    <w:p w:rsidR="002F6D35" w:rsidRDefault="002F6D35" w:rsidP="002F6D35">
      <w:pPr>
        <w:pStyle w:val="formattexttopleveltext"/>
        <w:shd w:val="clear" w:color="auto" w:fill="FFFFFF"/>
        <w:spacing w:before="0" w:beforeAutospacing="0" w:after="0" w:afterAutospacing="0" w:line="210" w:lineRule="atLeast"/>
        <w:jc w:val="both"/>
        <w:textAlignment w:val="baseline"/>
        <w:rPr>
          <w:color w:val="2D2D2D"/>
          <w:spacing w:val="1"/>
        </w:rPr>
      </w:pPr>
    </w:p>
    <w:p w:rsidR="00090F68" w:rsidRDefault="002F6D35" w:rsidP="002F6D35">
      <w:r>
        <w:rPr>
          <w:color w:val="2D2D2D"/>
          <w:spacing w:val="1"/>
        </w:rPr>
        <w:t>Врач по общей гигиене                                                                                Карманова Е</w:t>
      </w:r>
      <w:bookmarkStart w:id="0" w:name="_GoBack"/>
      <w:bookmarkEnd w:id="0"/>
    </w:p>
    <w:sectPr w:rsidR="00090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35"/>
    <w:rsid w:val="00090F68"/>
    <w:rsid w:val="002F6D35"/>
    <w:rsid w:val="005C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8885B-95EC-4436-8186-7B4BA01B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2F6D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3</cp:revision>
  <dcterms:created xsi:type="dcterms:W3CDTF">2026-08-04T08:31:00Z</dcterms:created>
  <dcterms:modified xsi:type="dcterms:W3CDTF">2026-08-04T08:32:00Z</dcterms:modified>
</cp:coreProperties>
</file>