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left="9638" w:right="0" w:firstLine="0"/>
        <w:spacing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Приложение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39"/>
        <w:ind w:left="9638" w:right="0" w:firstLine="0"/>
        <w:spacing w:line="240" w:lineRule="auto"/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к отчету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Кабинета Министров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</w:r>
    </w:p>
    <w:p>
      <w:pPr>
        <w:pStyle w:val="839"/>
        <w:ind w:left="9638" w:right="0" w:firstLine="0"/>
        <w:spacing w:line="240" w:lineRule="auto"/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Чувашской Республики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о выполнении </w:t>
      </w:r>
      <w:r>
        <w:rPr>
          <w:rFonts w:ascii="PT Astra Serif" w:hAnsi="PT Astra Serif" w:cs="PT Astra Serif"/>
          <w:b w:val="0"/>
          <w:bCs w:val="0"/>
          <w:color w:val="auto"/>
          <w:sz w:val="24"/>
          <w:szCs w:val="24"/>
        </w:rPr>
      </w:r>
    </w:p>
    <w:p>
      <w:pPr>
        <w:pStyle w:val="839"/>
        <w:ind w:left="9638" w:right="0" w:firstLine="0"/>
        <w:spacing w:line="240" w:lineRule="auto"/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Прогнозного плана (программы) приватизации 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государственного имущества Чувашской </w:t>
      </w:r>
      <w:r>
        <w:rPr>
          <w:rFonts w:ascii="PT Astra Serif" w:hAnsi="PT Astra Serif" w:cs="PT Astra Serif"/>
          <w:b w:val="0"/>
          <w:bCs w:val="0"/>
          <w:color w:val="auto"/>
          <w:sz w:val="24"/>
          <w:szCs w:val="24"/>
        </w:rPr>
      </w:r>
    </w:p>
    <w:p>
      <w:pPr>
        <w:pStyle w:val="839"/>
        <w:ind w:left="9638" w:right="0" w:firstLine="0"/>
        <w:spacing w:line="240" w:lineRule="auto"/>
        <w:rPr>
          <w:rFonts w:ascii="PT Astra Serif" w:hAnsi="PT Astra Serif" w:cs="PT Astra Serif"/>
          <w:b w:val="0"/>
          <w:bCs w:val="0"/>
          <w:color w:val="auto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Республики на 20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24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 год</w:t>
      </w:r>
      <w:r>
        <w:rPr>
          <w:rFonts w:ascii="PT Astra Serif" w:hAnsi="PT Astra Serif" w:eastAsia="PT Astra Serif" w:cs="PT Astra Serif"/>
          <w:b w:val="0"/>
          <w:bCs w:val="0"/>
          <w:color w:val="auto"/>
          <w:sz w:val="24"/>
          <w:szCs w:val="24"/>
        </w:rPr>
        <w:t xml:space="preserve"> и на плановый период 2025 и 2026 годов</w:t>
      </w:r>
      <w:r/>
      <w:r/>
    </w:p>
    <w:p>
      <w:pPr>
        <w:pStyle w:val="838"/>
        <w:spacing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838"/>
        <w:spacing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Перечень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тизированных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объектов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недвижимого имущества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38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157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620" w:firstRow="1" w:lastRow="0" w:firstColumn="0" w:lastColumn="0" w:noHBand="1" w:noVBand="1"/>
      </w:tblPr>
      <w:tblGrid>
        <w:gridCol w:w="697"/>
        <w:gridCol w:w="5387"/>
        <w:gridCol w:w="1559"/>
        <w:gridCol w:w="1840"/>
        <w:gridCol w:w="1420"/>
        <w:gridCol w:w="1577"/>
        <w:gridCol w:w="1417"/>
        <w:gridCol w:w="1822"/>
      </w:tblGrid>
      <w:tr>
        <w:tblPrEx/>
        <w:trPr>
          <w:trHeight w:val="1417"/>
        </w:trPr>
        <w:tc>
          <w:tcPr>
            <w:tcBorders>
              <w:bottom w:val="single" w:color="000000" w:sz="4" w:space="0"/>
            </w:tcBorders>
            <w:tcW w:w="69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832"/>
              <w:ind w:left="103" w:right="80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объекта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приватизации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103" w:right="8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местонахождение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назначение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32"/>
              <w:ind w:left="103" w:right="8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Общая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щадь объе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тов недв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сти,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кв. 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етров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832"/>
              <w:ind w:left="-39" w:right="-62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Реквизиты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ind w:left="-39" w:right="-62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решения об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ind w:left="-39" w:right="-62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условиях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-39" w:right="-6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приватизации</w:t>
            </w:r>
            <w:r/>
            <w:r/>
          </w:p>
        </w:tc>
        <w:tc>
          <w:tcPr>
            <w:tcBorders>
              <w:bottom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32"/>
              <w:ind w:right="-6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прив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7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явшихся торгов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(продажи)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Цена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сделки приватиз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ции,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рублей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2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Покупатель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69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832"/>
              <w:ind w:left="103" w:right="8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32"/>
              <w:ind w:left="-39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14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5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157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6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7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</w:rPr>
              <w:t xml:space="preserve">8</w:t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Помещение – нежилое с кадастровым номером 21:02:010509:2209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Новочебоксарск, ул. Пионерская, д. 20, корп. 3, пом.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771,1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10.09.2024 № 502-р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аукцион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4 172 331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Красн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Александр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Николаевич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Помещение – нежилое с кадастровым номером 21:02:010509:2210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Новочебоксарск,                    ул. Пионерская, д. 20, корп. 3, пом.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30,5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10.09.2024 № 501-р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аукцион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651 600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Красн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Александр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Николаевич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Земельный участок с кадастровым номером 21:05:010215:24 с расположенными на нем следующими объектами недвижимого имущества: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склада медоборудования – нежилое с            кадастровым номером 21:05:010239:218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склада огнеопасных материалов – нежилое с кадастровым номером 21:05:010239:191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проходной – нежилое с кадастровым             номером 21:05:010239:200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склада – нежилое с кадастровым номером 21:05:010239:234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Шумерля, Калининское шоссе, д.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9472,0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1324,3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55,7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7,9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25,4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10.09.2024 № 507-р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аукцион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8 224 260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Аношин Владимир Юрьевич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Помещение – нежилое с кадастровым номером 21:02:010223:3606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Новочебоксарск, ул. 10 Пя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тилетки, д. 1, пом.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52,6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10.09.2024 № 504-р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аукцион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2 284 800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Семенова                       Маргарита Владимировна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both"/>
              <w:spacing w:after="0" w:afterAutospacing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Земельный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участок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дастровым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номером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21:12:122403:171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расположенным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нем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следу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щим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объектом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движимого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имущества: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здание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нежилое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кадастровым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номером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21:12:000000:1764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both"/>
              <w:spacing w:after="0" w:afterAutospacing="0" w:line="240" w:lineRule="auto"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Чувашская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Республика,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Козловский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район,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          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ловка,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ул.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Карла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Маркса,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д.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27А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529,0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323,1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распоряжение Минэкономразвития Чувашии от 10.09.2024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№ 50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  <w:lang w:eastAsia="ar-SA"/>
              </w:rPr>
              <w:t xml:space="preserve">6-р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аукцион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16.01.202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1 791 200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ИП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Трубин Алексей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Михайлович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Помещение – нежилое с кадастровым номером 21:02:010223:3605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Новочебоксарск, ул. 10 Пятилетки, д. 1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293,2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05.09.2024 № 495-р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преимущественное право субъекта предпринимательства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09.10.2024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10 089 890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Семенова                       Маргарита Владимировна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Помещение – нежилое с кадастровым номером 21:02:010223:3607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Новочебоксарск, ул. 10 Пятилетки, д.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175,5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05.09.2024 № 496-р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преимущественное право субъекта предпринимательства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09.10.2024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5 940 200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Семенова                       Маргарита Владимировна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top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7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Помещение – нежилое с кадастровым номером 21:01:010208:2103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Чебоксары,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Урукова, д. 17а, комн. на I этаже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№ 3–13, 17–45, 47, 48 (по плану); комн. на антресоли № 4–20, 22 (по плану); комн. на III этаже № 1–11 (по плану)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28" w:hanging="28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2196,0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распоряжение Минэкономразвития Чувашии от 05.09.2024 № 494-р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преимущественное право субъекта предпринимательства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04.10.2024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90 376 450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НПП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«Технотрон»,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ООО</w:t>
            </w:r>
            <w:r/>
            <w:r/>
          </w:p>
        </w:tc>
      </w:tr>
    </w:tbl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046" w:right="1134" w:bottom="567" w:left="1134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fldSimple w:instr="PAGE \* MERGEFORMAT">
      <w:r>
        <w:t xml:space="preserve">1</w:t>
      </w:r>
    </w:fldSimple>
    <w:r/>
    <w:r/>
  </w:p>
  <w:p>
    <w:pPr>
      <w:pStyle w:val="68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9" w:customStyle="1">
    <w:name w:val="Название"/>
    <w:next w:val="672"/>
    <w:link w:val="67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ET" w:hAnsi="TimesET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2025-02-26T12:23:49Z</dcterms:modified>
</cp:coreProperties>
</file>