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Е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РЕЧЕНЬ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утратившими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силу,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приостановлению, изменению или принятию в связи с принятием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з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акона Чувашской Республики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«О внесении изменени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й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в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Закон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Чувашской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Республ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ки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 «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О регулировании отдельных вопросов 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в области организации дорожного движения </w:t>
      </w:r>
      <w:r>
        <w:rPr>
          <w:rFonts w:ascii="Times New Roman" w:hAnsi="Times New Roman" w:eastAsia="Times New Roman" w:cs="Times New Roman"/>
          <w:b/>
          <w:color w:val="000000"/>
          <w:sz w:val="26"/>
          <w:szCs w:val="26"/>
        </w:rPr>
        <w:t xml:space="preserve">в Чувашской Республике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  <w:t xml:space="preserve">»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709"/>
        <w:jc w:val="both"/>
        <w:rPr>
          <w:rFonts w:ascii="Times New Roman" w:hAnsi="Times New Roman" w:cs="Times New Roman"/>
          <w:spacing w:val="-4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 w:eastAsiaTheme="minorHAnsi"/>
          <w:color w:val="000000" w:themeColor="text1"/>
          <w:spacing w:val="-4"/>
          <w:sz w:val="26"/>
          <w:szCs w:val="26"/>
          <w:lang w:eastAsia="en-US"/>
        </w:rPr>
        <w:t xml:space="preserve">Принятие З</w:t>
      </w:r>
      <w:r>
        <w:rPr>
          <w:rFonts w:ascii="Times New Roman" w:hAnsi="Times New Roman" w:eastAsia="Times New Roman" w:cs="Times New Roman" w:eastAsiaTheme="minorHAnsi"/>
          <w:color w:val="000000" w:themeColor="text1"/>
          <w:spacing w:val="-4"/>
          <w:sz w:val="26"/>
          <w:szCs w:val="26"/>
          <w:lang w:eastAsia="en-US"/>
        </w:rPr>
        <w:t xml:space="preserve">акона Чувашской Республики</w:t>
      </w:r>
      <w:r>
        <w:rPr>
          <w:rFonts w:ascii="Times New Roman" w:hAnsi="Times New Roman" w:eastAsia="Times New Roman" w:cs="Times New Roman" w:eastAsiaTheme="minorHAnsi"/>
          <w:b w:val="0"/>
          <w:bCs w:val="0"/>
          <w:color w:val="000000" w:themeColor="text1"/>
          <w:spacing w:val="-4"/>
          <w:sz w:val="26"/>
          <w:szCs w:val="26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«О внесении изменени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й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Закон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Чувашской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Республ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ки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</w:rPr>
        <w:t xml:space="preserve">О регулировании отдельных вопросов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</w:rPr>
        <w:t xml:space="preserve">в области организации дорожного движения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6"/>
          <w:szCs w:val="26"/>
        </w:rPr>
        <w:t xml:space="preserve">в Чувашской Республике</w:t>
      </w:r>
      <w:r>
        <w:rPr>
          <w:rFonts w:ascii="Times New Roman" w:hAnsi="Times New Roman" w:eastAsia="Times New Roman" w:cs="Times New Roman"/>
          <w:b w:val="0"/>
          <w:bCs w:val="0"/>
          <w:sz w:val="26"/>
          <w:szCs w:val="26"/>
        </w:rPr>
        <w:t xml:space="preserve">» </w:t>
      </w:r>
      <w:r>
        <w:rPr>
          <w:rFonts w:ascii="Times New Roman" w:hAnsi="Times New Roman" w:eastAsia="Times New Roman" w:cs="Times New Roman" w:eastAsiaTheme="minorHAnsi"/>
          <w:spacing w:val="-4"/>
          <w:sz w:val="26"/>
          <w:szCs w:val="26"/>
          <w:lang w:eastAsia="en-US"/>
        </w:rPr>
        <w:t xml:space="preserve">потребует принятия нормативных правовых актов Кабинета Министров Чувашской Республики, устанавливающих:</w:t>
      </w:r>
      <w:r>
        <w:rPr>
          <w:rFonts w:ascii="Times New Roman" w:hAnsi="Times New Roman" w:cs="Times New Roman"/>
          <w:spacing w:val="-4"/>
          <w:sz w:val="26"/>
          <w:szCs w:val="26"/>
          <w:highlight w:val="none"/>
        </w:rPr>
      </w:r>
      <w:r>
        <w:rPr>
          <w:rFonts w:ascii="Times New Roman" w:hAnsi="Times New Roman" w:cs="Times New Roman"/>
          <w:spacing w:val="-4"/>
          <w:sz w:val="26"/>
          <w:szCs w:val="26"/>
          <w:highlight w:val="none"/>
        </w:rPr>
      </w:r>
    </w:p>
    <w:p>
      <w:pPr>
        <w:pStyle w:val="852"/>
        <w:numPr>
          <w:ilvl w:val="0"/>
          <w:numId w:val="6"/>
        </w:numPr>
        <w:jc w:val="both"/>
        <w:rPr>
          <w:rFonts w:ascii="Times New Roman" w:hAnsi="Times New Roman" w:cs="Times New Roman"/>
          <w:spacing w:val="-4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методику расчета размера платы за пользование платными парковками на автомобильн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ых дорогах регионального или ме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муниципального значения,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автомобильных дорогах местного значения, а также установление ее максимального размера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;</w:t>
      </w:r>
      <w:r>
        <w:rPr>
          <w:rFonts w:ascii="Times New Roman" w:hAnsi="Times New Roman" w:cs="Times New Roman"/>
          <w:spacing w:val="-4"/>
          <w:sz w:val="26"/>
          <w:szCs w:val="26"/>
          <w:highlight w:val="none"/>
        </w:rPr>
      </w:r>
      <w:r>
        <w:rPr>
          <w:rFonts w:ascii="Times New Roman" w:hAnsi="Times New Roman" w:cs="Times New Roman"/>
          <w:spacing w:val="-4"/>
          <w:sz w:val="26"/>
          <w:szCs w:val="26"/>
          <w:highlight w:val="none"/>
        </w:rPr>
      </w:r>
    </w:p>
    <w:p>
      <w:pPr>
        <w:pStyle w:val="852"/>
        <w:numPr>
          <w:ilvl w:val="0"/>
          <w:numId w:val="6"/>
        </w:numPr>
        <w:jc w:val="both"/>
        <w:rPr>
          <w:rFonts w:ascii="Times New Roman" w:hAnsi="Times New Roman" w:cs="Times New Roman"/>
          <w:spacing w:val="-4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порядок </w:t>
      </w:r>
      <w:r>
        <w:rPr>
          <w:sz w:val="26"/>
          <w:szCs w:val="26"/>
        </w:rPr>
        <w:t xml:space="preserve">разработки, согласования с органами и организациями, указанными в пунктах 1, 2 и 4 части 9 статьи 17 Федерал</w:t>
      </w:r>
      <w:r>
        <w:rPr>
          <w:sz w:val="26"/>
          <w:szCs w:val="26"/>
        </w:rPr>
        <w:t xml:space="preserve">ь</w:t>
      </w:r>
      <w:r>
        <w:rPr>
          <w:sz w:val="26"/>
          <w:szCs w:val="26"/>
        </w:rPr>
        <w:t xml:space="preserve">ного закона </w:t>
      </w:r>
      <w:r>
        <w:rPr>
          <w:color w:val="000000"/>
          <w:sz w:val="26"/>
          <w:szCs w:val="26"/>
          <w:highlight w:val="white"/>
        </w:rPr>
        <w:t xml:space="preserve">от 29 декабря 2017 г.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№ 443-ФЗ «Об организации дорожного движения в Российской Федерации и о внесении изменений в отдел</w:t>
      </w:r>
      <w:r>
        <w:rPr>
          <w:color w:val="000000"/>
          <w:sz w:val="26"/>
          <w:szCs w:val="26"/>
          <w:highlight w:val="white"/>
        </w:rPr>
        <w:t xml:space="preserve">ь</w:t>
      </w:r>
      <w:r>
        <w:rPr>
          <w:color w:val="000000"/>
          <w:sz w:val="26"/>
          <w:szCs w:val="26"/>
          <w:highlight w:val="white"/>
        </w:rPr>
        <w:t xml:space="preserve">ные законодательные акты Российской Федерации</w:t>
      </w:r>
      <w:r>
        <w:rPr>
          <w:color w:val="000000"/>
          <w:sz w:val="26"/>
          <w:szCs w:val="26"/>
          <w:highlight w:val="white"/>
        </w:rPr>
        <w:t xml:space="preserve">»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(</w:t>
      </w:r>
      <w:r>
        <w:rPr>
          <w:color w:val="000000"/>
          <w:sz w:val="26"/>
          <w:szCs w:val="26"/>
          <w:highlight w:val="white"/>
        </w:rPr>
        <w:t xml:space="preserve">д</w:t>
      </w:r>
      <w:r>
        <w:rPr>
          <w:color w:val="000000"/>
          <w:sz w:val="26"/>
          <w:szCs w:val="26"/>
          <w:highlight w:val="white"/>
        </w:rPr>
        <w:t xml:space="preserve">а</w:t>
      </w:r>
      <w:r>
        <w:rPr>
          <w:color w:val="000000"/>
          <w:sz w:val="26"/>
          <w:szCs w:val="26"/>
          <w:highlight w:val="white"/>
        </w:rPr>
        <w:t xml:space="preserve">л</w:t>
      </w:r>
      <w:r>
        <w:rPr>
          <w:color w:val="000000"/>
          <w:sz w:val="26"/>
          <w:szCs w:val="26"/>
          <w:highlight w:val="white"/>
        </w:rPr>
        <w:t xml:space="preserve">е</w:t>
      </w:r>
      <w:r>
        <w:rPr>
          <w:color w:val="000000"/>
          <w:sz w:val="26"/>
          <w:szCs w:val="26"/>
          <w:highlight w:val="white"/>
        </w:rPr>
        <w:t xml:space="preserve">е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–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Ф</w:t>
      </w:r>
      <w:r>
        <w:rPr>
          <w:color w:val="000000"/>
          <w:sz w:val="26"/>
          <w:szCs w:val="26"/>
          <w:highlight w:val="white"/>
        </w:rPr>
        <w:t xml:space="preserve">е</w:t>
      </w:r>
      <w:r>
        <w:rPr>
          <w:color w:val="000000"/>
          <w:sz w:val="26"/>
          <w:szCs w:val="26"/>
          <w:highlight w:val="white"/>
        </w:rPr>
        <w:t xml:space="preserve">д</w:t>
      </w:r>
      <w:r>
        <w:rPr>
          <w:color w:val="000000"/>
          <w:sz w:val="26"/>
          <w:szCs w:val="26"/>
          <w:highlight w:val="white"/>
        </w:rPr>
        <w:t xml:space="preserve">е</w:t>
      </w:r>
      <w:r>
        <w:rPr>
          <w:color w:val="000000"/>
          <w:sz w:val="26"/>
          <w:szCs w:val="26"/>
          <w:highlight w:val="white"/>
        </w:rPr>
        <w:t xml:space="preserve">р</w:t>
      </w:r>
      <w:r>
        <w:rPr>
          <w:color w:val="000000"/>
          <w:sz w:val="26"/>
          <w:szCs w:val="26"/>
          <w:highlight w:val="white"/>
        </w:rPr>
        <w:t xml:space="preserve">а</w:t>
      </w:r>
      <w:r>
        <w:rPr>
          <w:color w:val="000000"/>
          <w:sz w:val="26"/>
          <w:szCs w:val="26"/>
          <w:highlight w:val="white"/>
        </w:rPr>
        <w:t xml:space="preserve">л</w:t>
      </w:r>
      <w:r>
        <w:rPr>
          <w:color w:val="000000"/>
          <w:sz w:val="26"/>
          <w:szCs w:val="26"/>
          <w:highlight w:val="white"/>
        </w:rPr>
        <w:t xml:space="preserve">ь</w:t>
      </w:r>
      <w:r>
        <w:rPr>
          <w:color w:val="000000"/>
          <w:sz w:val="26"/>
          <w:szCs w:val="26"/>
          <w:highlight w:val="white"/>
        </w:rPr>
        <w:t xml:space="preserve">н</w:t>
      </w:r>
      <w:r>
        <w:rPr>
          <w:color w:val="000000"/>
          <w:sz w:val="26"/>
          <w:szCs w:val="26"/>
          <w:highlight w:val="white"/>
        </w:rPr>
        <w:t xml:space="preserve">ы</w:t>
      </w:r>
      <w:r>
        <w:rPr>
          <w:color w:val="000000"/>
          <w:sz w:val="26"/>
          <w:szCs w:val="26"/>
          <w:highlight w:val="white"/>
        </w:rPr>
        <w:t xml:space="preserve">й</w:t>
      </w:r>
      <w:r>
        <w:rPr>
          <w:color w:val="000000"/>
          <w:sz w:val="26"/>
          <w:szCs w:val="26"/>
          <w:highlight w:val="white"/>
        </w:rPr>
        <w:t xml:space="preserve"> </w:t>
      </w:r>
      <w:r>
        <w:rPr>
          <w:color w:val="000000"/>
          <w:sz w:val="26"/>
          <w:szCs w:val="26"/>
          <w:highlight w:val="white"/>
        </w:rPr>
        <w:t xml:space="preserve">з</w:t>
      </w:r>
      <w:r>
        <w:rPr>
          <w:color w:val="000000"/>
          <w:sz w:val="26"/>
          <w:szCs w:val="26"/>
          <w:highlight w:val="white"/>
        </w:rPr>
        <w:t xml:space="preserve">а</w:t>
      </w:r>
      <w:r>
        <w:rPr>
          <w:color w:val="000000"/>
          <w:sz w:val="26"/>
          <w:szCs w:val="26"/>
          <w:highlight w:val="white"/>
        </w:rPr>
        <w:t xml:space="preserve">к</w:t>
      </w:r>
      <w:r>
        <w:rPr>
          <w:color w:val="000000"/>
          <w:sz w:val="26"/>
          <w:szCs w:val="26"/>
          <w:highlight w:val="white"/>
        </w:rPr>
        <w:t xml:space="preserve">о</w:t>
      </w:r>
      <w:r>
        <w:rPr>
          <w:color w:val="000000"/>
          <w:sz w:val="26"/>
          <w:szCs w:val="26"/>
          <w:highlight w:val="white"/>
        </w:rPr>
        <w:t xml:space="preserve">н</w:t>
      </w:r>
      <w:r>
        <w:rPr>
          <w:color w:val="000000"/>
          <w:sz w:val="26"/>
          <w:szCs w:val="26"/>
          <w:highlight w:val="white"/>
        </w:rPr>
        <w:t xml:space="preserve">)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и утверждения комплексных схем организации дорожного движения, изменений в утвержденные комплексные схемы организации дорожного движения</w:t>
      </w:r>
      <w:r>
        <w:rPr>
          <w:color w:val="000000"/>
          <w:sz w:val="26"/>
          <w:szCs w:val="26"/>
        </w:rPr>
        <w:t xml:space="preserve"> с учетом положений Федерального закона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;</w:t>
      </w:r>
      <w:r>
        <w:rPr>
          <w:rFonts w:ascii="Times New Roman" w:hAnsi="Times New Roman" w:cs="Times New Roman"/>
          <w:spacing w:val="-4"/>
          <w:sz w:val="26"/>
          <w:szCs w:val="26"/>
          <w:highlight w:val="white"/>
        </w:rPr>
      </w:r>
      <w:r>
        <w:rPr>
          <w:rFonts w:ascii="Times New Roman" w:hAnsi="Times New Roman" w:cs="Times New Roman"/>
          <w:spacing w:val="-4"/>
          <w:sz w:val="26"/>
          <w:szCs w:val="26"/>
          <w:highlight w:val="white"/>
        </w:rPr>
      </w:r>
    </w:p>
    <w:p>
      <w:pPr>
        <w:pStyle w:val="852"/>
        <w:numPr>
          <w:ilvl w:val="0"/>
          <w:numId w:val="6"/>
        </w:numPr>
        <w:jc w:val="both"/>
        <w:rPr>
          <w:rFonts w:ascii="Times New Roman" w:hAnsi="Times New Roman" w:cs="Times New Roman"/>
          <w:spacing w:val="-4"/>
          <w:sz w:val="26"/>
          <w:szCs w:val="26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</w:r>
      <w:r>
        <w:rPr>
          <w:rFonts w:ascii="Times New Roman" w:hAnsi="Times New Roman" w:eastAsia="Times New Roman" w:cs="Times New Roman"/>
          <w:sz w:val="26"/>
          <w:szCs w:val="26"/>
          <w:highlight w:val="white"/>
        </w:rPr>
        <w:t xml:space="preserve">порядок </w:t>
      </w:r>
      <w:r>
        <w:rPr>
          <w:sz w:val="26"/>
          <w:szCs w:val="26"/>
        </w:rPr>
        <w:t xml:space="preserve"> разработки, согласования с органами и организациями, указанными в пункте 2 части 8, пунктах 2 и 3 части 9, пунктах 2 и 3 части 9.1 статьи 18 Федерального закона</w:t>
      </w:r>
      <w:r>
        <w:rPr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 xml:space="preserve">и утверждения проектов организации дорожного движения для автомобильных дорог р</w:t>
      </w:r>
      <w:r>
        <w:rPr>
          <w:color w:val="000000"/>
          <w:sz w:val="26"/>
          <w:szCs w:val="26"/>
        </w:rPr>
        <w:t xml:space="preserve">е</w:t>
      </w:r>
      <w:r>
        <w:rPr>
          <w:color w:val="000000"/>
          <w:sz w:val="26"/>
          <w:szCs w:val="26"/>
        </w:rPr>
        <w:t xml:space="preserve">гионального, межмуниципального, местного значения, для частных авт</w:t>
      </w:r>
      <w:r>
        <w:rPr>
          <w:color w:val="000000"/>
          <w:sz w:val="26"/>
          <w:szCs w:val="26"/>
        </w:rPr>
        <w:t xml:space="preserve">о</w:t>
      </w:r>
      <w:r>
        <w:rPr>
          <w:color w:val="000000"/>
          <w:sz w:val="26"/>
          <w:szCs w:val="26"/>
        </w:rPr>
        <w:t xml:space="preserve">мобильных дорог, изменений в указанные проекты организации дорожного движения</w:t>
      </w:r>
      <w:r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с учетом положений Федерального закона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spacing w:val="-4"/>
          <w:sz w:val="26"/>
          <w:szCs w:val="26"/>
          <w:highlight w:val="white"/>
        </w:rPr>
      </w:r>
      <w:r>
        <w:rPr>
          <w:rFonts w:ascii="Times New Roman" w:hAnsi="Times New Roman" w:cs="Times New Roman"/>
          <w:spacing w:val="-4"/>
          <w:sz w:val="26"/>
          <w:szCs w:val="26"/>
          <w:highlight w:val="white"/>
        </w:rPr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020"/>
        <w:gridCol w:w="3457"/>
        <w:gridCol w:w="1809"/>
      </w:tblGrid>
      <w:tr>
        <w:tblPrEx/>
        <w:trPr>
          <w:trHeight w:val="1701"/>
        </w:trPr>
        <w:tc>
          <w:tcPr>
            <w:shd w:val="clear" w:color="auto" w:fill="auto"/>
            <w:tcW w:w="402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инистр транспорта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и дорожного хозяйства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Ч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увашской Республики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345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sz w:val="26"/>
                <w:szCs w:val="26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943100" cy="838200"/>
                      <wp:effectExtent l="0" t="0" r="0" b="0"/>
                      <wp:docPr id="1" name="_x0000_i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9177260" name=""/>
                              <pic:cNvPicPr/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943100" cy="8381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rou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53.00pt;height:66.00pt;mso-wrap-distance-left:0.00pt;mso-wrap-distance-top:0.00pt;mso-wrap-distance-right:0.00pt;mso-wrap-distance-bottom:0.00pt;rotation:0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auto" w:fill="auto"/>
            <w:tcW w:w="1809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  <w:outlineLvl w:val="1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М.М. Петров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jc w:val="center"/>
        <w:rPr>
          <w:sz w:val="26"/>
          <w:szCs w:val="26"/>
        </w:rPr>
        <w:outlineLvl w:val="1"/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rPr>
          <w:spacing w:val="-4"/>
          <w:sz w:val="26"/>
          <w:szCs w:val="26"/>
        </w:rPr>
      </w:pPr>
      <w:r>
        <w:rPr>
          <w:spacing w:val="-4"/>
          <w:sz w:val="26"/>
          <w:szCs w:val="26"/>
        </w:rPr>
      </w:r>
      <w:r>
        <w:rPr>
          <w:spacing w:val="-4"/>
          <w:sz w:val="26"/>
          <w:szCs w:val="26"/>
        </w:rPr>
      </w:r>
      <w:r>
        <w:rPr>
          <w:spacing w:val="-4"/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1" w:bottom="1134" w:left="1985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1"/>
    <w:next w:val="841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2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1"/>
    <w:next w:val="841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2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1"/>
    <w:next w:val="841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2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1"/>
    <w:next w:val="841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2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1"/>
    <w:next w:val="841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2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1"/>
    <w:next w:val="841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2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1"/>
    <w:next w:val="841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2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1"/>
    <w:next w:val="841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2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1"/>
    <w:next w:val="841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2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No Spacing"/>
    <w:uiPriority w:val="1"/>
    <w:qFormat/>
    <w:pPr>
      <w:spacing w:before="0" w:after="0" w:line="240" w:lineRule="auto"/>
    </w:pPr>
  </w:style>
  <w:style w:type="paragraph" w:styleId="685">
    <w:name w:val="Title"/>
    <w:basedOn w:val="841"/>
    <w:next w:val="841"/>
    <w:link w:val="6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6">
    <w:name w:val="Title Char"/>
    <w:basedOn w:val="842"/>
    <w:link w:val="685"/>
    <w:uiPriority w:val="10"/>
    <w:rPr>
      <w:sz w:val="48"/>
      <w:szCs w:val="48"/>
    </w:rPr>
  </w:style>
  <w:style w:type="paragraph" w:styleId="687">
    <w:name w:val="Subtitle"/>
    <w:basedOn w:val="841"/>
    <w:next w:val="841"/>
    <w:link w:val="688"/>
    <w:uiPriority w:val="11"/>
    <w:qFormat/>
    <w:pPr>
      <w:spacing w:before="200" w:after="200"/>
    </w:pPr>
    <w:rPr>
      <w:sz w:val="24"/>
      <w:szCs w:val="24"/>
    </w:rPr>
  </w:style>
  <w:style w:type="character" w:styleId="688">
    <w:name w:val="Subtitle Char"/>
    <w:basedOn w:val="842"/>
    <w:link w:val="687"/>
    <w:uiPriority w:val="11"/>
    <w:rPr>
      <w:sz w:val="24"/>
      <w:szCs w:val="24"/>
    </w:rPr>
  </w:style>
  <w:style w:type="paragraph" w:styleId="689">
    <w:name w:val="Quote"/>
    <w:basedOn w:val="841"/>
    <w:next w:val="841"/>
    <w:link w:val="690"/>
    <w:uiPriority w:val="29"/>
    <w:qFormat/>
    <w:pPr>
      <w:ind w:left="720" w:right="720"/>
    </w:pPr>
    <w:rPr>
      <w:i/>
    </w:rPr>
  </w:style>
  <w:style w:type="character" w:styleId="690">
    <w:name w:val="Quote Char"/>
    <w:link w:val="689"/>
    <w:uiPriority w:val="29"/>
    <w:rPr>
      <w:i/>
    </w:rPr>
  </w:style>
  <w:style w:type="paragraph" w:styleId="691">
    <w:name w:val="Intense Quote"/>
    <w:basedOn w:val="841"/>
    <w:next w:val="841"/>
    <w:link w:val="6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2">
    <w:name w:val="Intense Quote Char"/>
    <w:link w:val="691"/>
    <w:uiPriority w:val="30"/>
    <w:rPr>
      <w:i/>
    </w:rPr>
  </w:style>
  <w:style w:type="character" w:styleId="693">
    <w:name w:val="Header Char"/>
    <w:basedOn w:val="842"/>
    <w:link w:val="847"/>
    <w:uiPriority w:val="99"/>
  </w:style>
  <w:style w:type="character" w:styleId="694">
    <w:name w:val="Footer Char"/>
    <w:basedOn w:val="842"/>
    <w:link w:val="849"/>
    <w:uiPriority w:val="99"/>
  </w:style>
  <w:style w:type="paragraph" w:styleId="695">
    <w:name w:val="Caption"/>
    <w:basedOn w:val="841"/>
    <w:next w:val="841"/>
    <w:link w:val="69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849"/>
    <w:uiPriority w:val="99"/>
  </w:style>
  <w:style w:type="table" w:styleId="697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2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4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6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7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8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9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0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1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2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9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0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1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2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3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4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1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2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3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4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5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6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7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9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0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1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2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3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4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5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6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7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8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9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0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1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2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3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4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5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6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7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8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9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0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1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2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3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4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5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6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7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8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9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0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1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2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3">
    <w:name w:val="Hyperlink"/>
    <w:uiPriority w:val="99"/>
    <w:unhideWhenUsed/>
    <w:rPr>
      <w:color w:val="0000ff" w:themeColor="hyperlink"/>
      <w:u w:val="single"/>
    </w:rPr>
  </w:style>
  <w:style w:type="paragraph" w:styleId="824">
    <w:name w:val="footnote text"/>
    <w:basedOn w:val="841"/>
    <w:link w:val="825"/>
    <w:uiPriority w:val="99"/>
    <w:semiHidden/>
    <w:unhideWhenUsed/>
    <w:pPr>
      <w:spacing w:after="40" w:line="240" w:lineRule="auto"/>
    </w:pPr>
    <w:rPr>
      <w:sz w:val="18"/>
    </w:rPr>
  </w:style>
  <w:style w:type="character" w:styleId="825">
    <w:name w:val="Footnote Text Char"/>
    <w:link w:val="824"/>
    <w:uiPriority w:val="99"/>
    <w:rPr>
      <w:sz w:val="18"/>
    </w:rPr>
  </w:style>
  <w:style w:type="character" w:styleId="826">
    <w:name w:val="footnote reference"/>
    <w:basedOn w:val="842"/>
    <w:uiPriority w:val="99"/>
    <w:unhideWhenUsed/>
    <w:rPr>
      <w:vertAlign w:val="superscript"/>
    </w:rPr>
  </w:style>
  <w:style w:type="paragraph" w:styleId="827">
    <w:name w:val="endnote text"/>
    <w:basedOn w:val="841"/>
    <w:link w:val="828"/>
    <w:uiPriority w:val="99"/>
    <w:semiHidden/>
    <w:unhideWhenUsed/>
    <w:pPr>
      <w:spacing w:after="0" w:line="240" w:lineRule="auto"/>
    </w:pPr>
    <w:rPr>
      <w:sz w:val="20"/>
    </w:rPr>
  </w:style>
  <w:style w:type="character" w:styleId="828">
    <w:name w:val="Endnote Text Char"/>
    <w:link w:val="827"/>
    <w:uiPriority w:val="99"/>
    <w:rPr>
      <w:sz w:val="20"/>
    </w:rPr>
  </w:style>
  <w:style w:type="character" w:styleId="829">
    <w:name w:val="endnote reference"/>
    <w:basedOn w:val="842"/>
    <w:uiPriority w:val="99"/>
    <w:semiHidden/>
    <w:unhideWhenUsed/>
    <w:rPr>
      <w:vertAlign w:val="superscript"/>
    </w:rPr>
  </w:style>
  <w:style w:type="paragraph" w:styleId="830">
    <w:name w:val="toc 1"/>
    <w:basedOn w:val="841"/>
    <w:next w:val="841"/>
    <w:uiPriority w:val="39"/>
    <w:unhideWhenUsed/>
    <w:pPr>
      <w:ind w:left="0" w:right="0" w:firstLine="0"/>
      <w:spacing w:after="57"/>
    </w:pPr>
  </w:style>
  <w:style w:type="paragraph" w:styleId="831">
    <w:name w:val="toc 2"/>
    <w:basedOn w:val="841"/>
    <w:next w:val="841"/>
    <w:uiPriority w:val="39"/>
    <w:unhideWhenUsed/>
    <w:pPr>
      <w:ind w:left="283" w:right="0" w:firstLine="0"/>
      <w:spacing w:after="57"/>
    </w:pPr>
  </w:style>
  <w:style w:type="paragraph" w:styleId="832">
    <w:name w:val="toc 3"/>
    <w:basedOn w:val="841"/>
    <w:next w:val="841"/>
    <w:uiPriority w:val="39"/>
    <w:unhideWhenUsed/>
    <w:pPr>
      <w:ind w:left="567" w:right="0" w:firstLine="0"/>
      <w:spacing w:after="57"/>
    </w:pPr>
  </w:style>
  <w:style w:type="paragraph" w:styleId="833">
    <w:name w:val="toc 4"/>
    <w:basedOn w:val="841"/>
    <w:next w:val="841"/>
    <w:uiPriority w:val="39"/>
    <w:unhideWhenUsed/>
    <w:pPr>
      <w:ind w:left="850" w:right="0" w:firstLine="0"/>
      <w:spacing w:after="57"/>
    </w:pPr>
  </w:style>
  <w:style w:type="paragraph" w:styleId="834">
    <w:name w:val="toc 5"/>
    <w:basedOn w:val="841"/>
    <w:next w:val="841"/>
    <w:uiPriority w:val="39"/>
    <w:unhideWhenUsed/>
    <w:pPr>
      <w:ind w:left="1134" w:right="0" w:firstLine="0"/>
      <w:spacing w:after="57"/>
    </w:pPr>
  </w:style>
  <w:style w:type="paragraph" w:styleId="835">
    <w:name w:val="toc 6"/>
    <w:basedOn w:val="841"/>
    <w:next w:val="841"/>
    <w:uiPriority w:val="39"/>
    <w:unhideWhenUsed/>
    <w:pPr>
      <w:ind w:left="1417" w:right="0" w:firstLine="0"/>
      <w:spacing w:after="57"/>
    </w:pPr>
  </w:style>
  <w:style w:type="paragraph" w:styleId="836">
    <w:name w:val="toc 7"/>
    <w:basedOn w:val="841"/>
    <w:next w:val="841"/>
    <w:uiPriority w:val="39"/>
    <w:unhideWhenUsed/>
    <w:pPr>
      <w:ind w:left="1701" w:right="0" w:firstLine="0"/>
      <w:spacing w:after="57"/>
    </w:pPr>
  </w:style>
  <w:style w:type="paragraph" w:styleId="837">
    <w:name w:val="toc 8"/>
    <w:basedOn w:val="841"/>
    <w:next w:val="841"/>
    <w:uiPriority w:val="39"/>
    <w:unhideWhenUsed/>
    <w:pPr>
      <w:ind w:left="1984" w:right="0" w:firstLine="0"/>
      <w:spacing w:after="57"/>
    </w:pPr>
  </w:style>
  <w:style w:type="paragraph" w:styleId="838">
    <w:name w:val="toc 9"/>
    <w:basedOn w:val="841"/>
    <w:next w:val="841"/>
    <w:uiPriority w:val="39"/>
    <w:unhideWhenUsed/>
    <w:pPr>
      <w:ind w:left="2268" w:right="0" w:firstLine="0"/>
      <w:spacing w:after="57"/>
    </w:pPr>
  </w:style>
  <w:style w:type="paragraph" w:styleId="839">
    <w:name w:val="TOC Heading"/>
    <w:uiPriority w:val="39"/>
    <w:unhideWhenUsed/>
  </w:style>
  <w:style w:type="paragraph" w:styleId="840">
    <w:name w:val="table of figures"/>
    <w:basedOn w:val="841"/>
    <w:next w:val="841"/>
    <w:uiPriority w:val="99"/>
    <w:unhideWhenUsed/>
    <w:pPr>
      <w:spacing w:after="0" w:afterAutospacing="0"/>
    </w:pPr>
  </w:style>
  <w:style w:type="paragraph" w:styleId="841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Balloon Text"/>
    <w:basedOn w:val="841"/>
    <w:link w:val="846"/>
    <w:uiPriority w:val="99"/>
    <w:semiHidden/>
    <w:unhideWhenUsed/>
    <w:rPr>
      <w:rFonts w:ascii="Tahoma" w:hAnsi="Tahoma" w:cs="Tahoma"/>
      <w:sz w:val="16"/>
      <w:szCs w:val="16"/>
    </w:rPr>
  </w:style>
  <w:style w:type="character" w:styleId="846" w:customStyle="1">
    <w:name w:val="Текст выноски Знак"/>
    <w:basedOn w:val="842"/>
    <w:link w:val="84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47">
    <w:name w:val="Header"/>
    <w:basedOn w:val="841"/>
    <w:link w:val="84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48" w:customStyle="1">
    <w:name w:val="Верхний колонтитул Знак"/>
    <w:basedOn w:val="842"/>
    <w:link w:val="847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9">
    <w:name w:val="Footer"/>
    <w:basedOn w:val="841"/>
    <w:link w:val="85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50" w:customStyle="1">
    <w:name w:val="Нижний колонтитул Знак"/>
    <w:basedOn w:val="842"/>
    <w:link w:val="84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1" w:customStyle="1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852">
    <w:name w:val="List Paragraph"/>
    <w:basedOn w:val="84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mintrans102</cp:lastModifiedBy>
  <cp:revision>13</cp:revision>
  <dcterms:created xsi:type="dcterms:W3CDTF">2023-08-11T08:44:00Z</dcterms:created>
  <dcterms:modified xsi:type="dcterms:W3CDTF">2025-06-04T14:12:28Z</dcterms:modified>
</cp:coreProperties>
</file>