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Кабинета Министров ЧР от 22.11.2023 N 738</w:t>
              <w:br/>
              <w:t xml:space="preserve">(ред. от 12.03.2025)</w:t>
              <w:br/>
              <w:t xml:space="preserve">"О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производителей"</w:t>
              <w:br/>
              <w:t xml:space="preserve">(вместе с "Положением о конкурсной комиссии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ноября 2023 г. N 738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ПРИСУЖДЕНИЯ ГРАНТОВ ГЛАВЫ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МУНИЦИПАЛЬНЫМ И ГОРОДСКИМ ОКРУГАМ ЗА СОДЕЙСТВИЕ</w:t>
      </w:r>
    </w:p>
    <w:p>
      <w:pPr>
        <w:pStyle w:val="2"/>
        <w:jc w:val="center"/>
      </w:pPr>
      <w:r>
        <w:rPr>
          <w:sz w:val="24"/>
        </w:rPr>
        <w:t xml:space="preserve">В РАСШИРЕНИИ ПРОИЗВОДСТВА И ПРОДВИЖЕНИИ ПРОДУКЦИИ</w:t>
      </w:r>
    </w:p>
    <w:p>
      <w:pPr>
        <w:pStyle w:val="2"/>
        <w:jc w:val="center"/>
      </w:pPr>
      <w:r>
        <w:rPr>
          <w:sz w:val="24"/>
        </w:rPr>
        <w:t xml:space="preserve">АГРОПРОМЫШЛЕННОГО КОМПЛЕКСА И ПИЩЕВОЙ ПРОДУКЦИИ</w:t>
      </w:r>
    </w:p>
    <w:p>
      <w:pPr>
        <w:pStyle w:val="2"/>
        <w:jc w:val="center"/>
      </w:pPr>
      <w:r>
        <w:rPr>
          <w:sz w:val="24"/>
        </w:rPr>
        <w:t xml:space="preserve">МЕСТНЫХ ПРОИЗВОДИТЕЛЕЙ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12.03.2025 N 141)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Кабинет Министров Чувашской Республики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38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(приложение N 1);</w:t>
      </w:r>
    </w:p>
    <w:p>
      <w:pPr>
        <w:pStyle w:val="0"/>
        <w:spacing w:before="240" w:line-rule="auto"/>
        <w:ind w:firstLine="540"/>
        <w:jc w:val="both"/>
      </w:pPr>
      <w:hyperlink w:history="0" w:anchor="P180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 (приложение N 2);</w:t>
      </w:r>
    </w:p>
    <w:p>
      <w:pPr>
        <w:pStyle w:val="0"/>
        <w:spacing w:before="240" w:line-rule="auto"/>
        <w:ind w:firstLine="540"/>
        <w:jc w:val="both"/>
      </w:pPr>
      <w:hyperlink w:history="0" w:anchor="P305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конкурсной комиссии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(приложение N 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экономического развития и имущественных отношений Чувашской Республики ежегодно не позднее 1 мая года, следующего за отчетным, формировать сведения о значениях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производителей, согласно </w:t>
      </w:r>
      <w:hyperlink w:history="0" w:anchor="P180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постановлению.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Министерству финансов Чувашской Республики ежегодно предусматривать в проекте республиканского бюджета Чувашской Республики на очередной финансовый год и плановый период необходимые средства на предоставление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О.НИКОЛАЕВ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22.11.2023 N 738</w:t>
      </w:r>
    </w:p>
    <w:p>
      <w:pPr>
        <w:pStyle w:val="0"/>
        <w:jc w:val="right"/>
      </w:pPr>
      <w:r>
        <w:rPr>
          <w:sz w:val="24"/>
        </w:rPr>
        <w:t xml:space="preserve">(приложение N 1)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ПОРЯДКЕ ПРИСУЖДЕНИЯ ГРАНТОВ ГЛАВЫ ЧУВАШСКОЙ РЕСПУБЛИКИ</w:t>
      </w:r>
    </w:p>
    <w:p>
      <w:pPr>
        <w:pStyle w:val="2"/>
        <w:jc w:val="center"/>
      </w:pPr>
      <w:r>
        <w:rPr>
          <w:sz w:val="24"/>
        </w:rPr>
        <w:t xml:space="preserve">МУНИЦИПАЛЬНЫМ И ГОРОДСКИМ ОКРУГАМ ЗА СОДЕЙСТВИЕ</w:t>
      </w:r>
    </w:p>
    <w:p>
      <w:pPr>
        <w:pStyle w:val="2"/>
        <w:jc w:val="center"/>
      </w:pPr>
      <w:r>
        <w:rPr>
          <w:sz w:val="24"/>
        </w:rPr>
        <w:t xml:space="preserve">В РАСШИРЕНИИ ПРОИЗВОДСТВА И ПРОДВИЖЕНИИ ПРОДУКЦИИ</w:t>
      </w:r>
    </w:p>
    <w:p>
      <w:pPr>
        <w:pStyle w:val="2"/>
        <w:jc w:val="center"/>
      </w:pPr>
      <w:r>
        <w:rPr>
          <w:sz w:val="24"/>
        </w:rPr>
        <w:t xml:space="preserve">АГРОПРОМЫШЛЕННОГО КОМПЛЕКСА И ПИЩЕВОЙ ПРОДУКЦИИ</w:t>
      </w:r>
    </w:p>
    <w:p>
      <w:pPr>
        <w:pStyle w:val="2"/>
        <w:jc w:val="center"/>
      </w:pPr>
      <w:r>
        <w:rPr>
          <w:sz w:val="24"/>
        </w:rPr>
        <w:t xml:space="preserve">МЕСТНЫХ ПРОИЗВОДИТЕЛЕЙ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12.03.2025 N 141)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Настоящее Положение определяет порядок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(далее - грант) на конкурсной основе.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Право на получение грантов имеют муниципальные и городские округа, органы местного самоуправления которых обеспечивают достижение наилучших значений показателей, предусмотренных перечнем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 (далее - показатель), утвержденным постановлением Кабинета Министров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Гранты присуждаются по результатам оценки значений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Оценку значений показателей осуществляет конкурсная комиссия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(далее -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Ежегодно предоставляются три гранта. Гранты присуждаются распоряжением Главы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Выделение грантов муниципальным и городским округам осуществляется в пределах средств, предусмотренных на указанные цели в республиканском бюджете Чувашской Республики на текущий финансовый год и плановый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 настоящем Положении под продукцией местного производства понимаются продукция агропромышленного комплекса и пищевая продукция производителей, осуществляющих производственную деятельность на территории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Организация оценки значений показателей</w:t>
      </w:r>
    </w:p>
    <w:p>
      <w:pPr>
        <w:pStyle w:val="2"/>
        <w:jc w:val="center"/>
      </w:pPr>
      <w:r>
        <w:rPr>
          <w:sz w:val="24"/>
        </w:rPr>
        <w:t xml:space="preserve">и подведение итогов по результатам оценки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ЧР от 12.03.2025 N 141.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Оценка значений показателей осуществляется отдельно по каждому муниципальному образованию по следующим показателям: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представленности продукции местного производства в общем ассортименте торговых объектов (Р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) с весовым коэффициентом 0,1;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динамика доли представленности продукции местного производства в общем ассортименте торговых объектов (Р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) с весовым коэффициентом 0,1;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объема розничной продажи пива и пивных напитков местного производства в общем объеме продажи пива и пивных напитков (Р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) с весовым коэффициентом 0,15;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темп роста (снижения) объема розничной продажи пива и пивных напитков местного производства (Р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) с весовым коэффициентом 0,15;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 на 1000 чел. (P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) с весовым коэффициентом 0,1;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фирменных магазинов, отделов местных производителей на 1000 чел. (Р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) с весовым коэффициентом 0,1;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темп роста количества торговых объектов не менее чем на 1 процент по отношению к предыдущему календарному году (Р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) с весовым коэффициентом 0,05;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проведенных ярмарок "выходного дня", сельскохозяйственных, специализированных, тематических ярмарок на 1000 чел. (Р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) с весовым коэффициентом 0,1;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</w:r>
      <w:hyperlink w:history="0" r:id="rId7">
        <w:r>
          <w:rPr>
            <w:sz w:val="24"/>
            <w:color w:val="0000ff"/>
          </w:rPr>
          <w:t xml:space="preserve">http://geo.cap.ru</w:t>
        </w:r>
      </w:hyperlink>
      <w:r>
        <w:rPr>
          <w:sz w:val="24"/>
        </w:rPr>
        <w:t xml:space="preserve"> (Р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), с весовым коэффициентом 0,05;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объема розничной продажи алкогольной продукции местного производства в общем объеме продажи алкогольной продукции (P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) с весовым коэффициентом 0,1.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При подведении итогов Комиссией оцениваются значения показателей, указанных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Положения, по данным, представленным администрациями муниципальных и городских округов и Министерством экономического развития и имущественных отношений Чувашской Республики (далее - Минэкономразвития Чувашии).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При подведении итогов по результатам оценки значений показателей проводится ранжирование по значениям показателей, указанным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Положения, путем присвоения баллов муниципальным округам, городским округам от 23 (максимальное значение показателя) до 1 (минимальное значение показателя). Ранг муниципального округа, городского округа определяется отдельно с учетом присвоенных баллов с поправкой на весовой коэффициент показателя.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каждому показателю, указанному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Положения, рассчитывается ранг отдельно с учетом присвоенных баллов с поправкой на весовой коэффициент по формуле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x W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R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ранг по отдельному i-у показателю, указанному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Положения, с учетом присвоенных баллов с поправкой на весовой коэффициент;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P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значение балла, присвоенного показателю, указанному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W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весовой коэффициент показателя, указанного в </w:t>
      </w:r>
      <w:hyperlink w:history="0"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Положения. Весовой коэффициент каждого показателя определяет значимость соответствующего показателя при подведении итогов по результатам оценки значений показателей.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равном значении показателей по нескольким муниципальным округам и городским округам им присваивается одинаковое количество баллов, соответствующее месту, которое заняли указанные муниципальные округа, городские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Баллы муниципальным округам и городским округам не присваиваются: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значениях показателя Р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 равных 0 и ниже;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значениях показателей Р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и Р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, равных 100 процентам и ниже;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значениях показателей Р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, Р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, Р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и Р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, равных 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Полученные ранги суммируются, и определяется итоговый ранг муниципального округа, городского округа по формуле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28"/>
        </w:rPr>
        <w:drawing>
          <wp:inline distT="0" distB="0" distL="0" distR="0">
            <wp:extent cx="78867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IR - итоговый ранг муниципального округа, городского округа;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число показателей с учетом присвоенных баллов с поправкой на весовой коэффициент.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Муниципальному округу, городскому округу, получившему максимальное значение итогового ранга, присуждается первое место, получившему минимальное значение итогового ранга - последнее место.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По результатам оценки значений показателей за отчетный (календарный) год (с 1 января по 31 декабря включительно) Комиссия ежегодно не позднее 1 июня года, следующего за отчетным, определяет муниципальные округа, городские округа, достигшие наилучших значений показателей.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Порядок предоставления грантов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По результатам оценки значений показателей Комиссией предлагается предоставление трех грантов за первые три призовых места.</w:t>
      </w:r>
    </w:p>
    <w:p>
      <w:pPr>
        <w:pStyle w:val="0"/>
        <w:jc w:val="both"/>
      </w:pPr>
      <w:r>
        <w:rPr>
          <w:sz w:val="24"/>
        </w:rPr>
        <w:t xml:space="preserve">(п. 3.1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Распределение общей суммы средств, предусмотренных на выплату грантов муниципальным, городским округам, занявшим призовые места по результатам оценки значений показателей, осуществляется в следующих пропорциях: 40 процентов средств направляются на поощрение муниципального или городского округа, занявшего первое место по результатам оценки значений показателей, 35 процентов - на поощрение муниципального или городского округа, занявшего второе место, 25 процентов - на поощрение муниципального или городского округа, занявшего третье место.</w:t>
      </w:r>
    </w:p>
    <w:p>
      <w:pPr>
        <w:pStyle w:val="0"/>
        <w:jc w:val="both"/>
      </w:pPr>
      <w:r>
        <w:rPr>
          <w:sz w:val="24"/>
        </w:rPr>
        <w:t xml:space="preserve">(п. 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Комиссия в течение трех рабочих дней со дня оформления протокола заседания Комиссии направляет его в Минэкономразвития Чувашии.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Минэкономразвития Чувашии в течение 15 дней после получения протокола заседания Комиссии готовит проект распоряжения Главы Чувашской Республики о присуждении грантов и представляет его Главе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В течение 10 рабочих дней со дня принятия распоряжения Главы Чувашской Республики о присуждении грантов Минэкономразвития Чувашии направляет администрациям муниципальных округов, городских округов, занявших призовые места по результатам оценки значений показателей (далее - получатель гранта), проект соглашения о предоставлении гранта (далее - соглашение).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рассмотрения и подписания проекта соглашения Минэкономразвития Чувашии и получателем гранта не превышает пяти рабочих дней со дня его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Выплата грантов получателям грантов производится Минэкономразвития Чувашии не позднее одного месяца со дня официального опубликования распоряжения Главы Чувашской Республики о присуждении грантов.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Гранты предоставляются из республиканского бюджета Чувашской Республики в виде иных межбюджетных трансфертов бюджетам муниципальных округов, бюджетам городских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Средства республиканского бюджета Чувашской Республики на выплату грантов перечисляются с лицевого счета получателя средств - Минэкономразвития Чувашии, открытого в Министерстве финансов Чувашской Республики (далее - Минфин Чувашии),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округов, бюджеты городских округов.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Гранты муниципальным округам, городским округам предоставляются на основании соглашений, заключаемых между Минэкономразвития Чувашии и администрациями муниципальных округов, городских округов, в которых предусматриваются следующие положения: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цели, сроки, порядок, размер и условия предоставления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направления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права и обязанности сторон;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ответственность сторон за неисполнение или ненадлежащее исполнение условий соглашения;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документов, представляемых администрацией муниципального округа, городского округа для получения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показателей результативности использования гранта с учетом весовых коэффициентов, определяющих значимость соответствующего показателя. Значение суммы весовых коэффициентов показателей результативности использования гранта, установленных соглашением, не должно превышать 1;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обязательство администрации муниципального округа, городского округа о ведении учета показателей результативности использования гранта и представлении отчетности о достижении значений показателей результативности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обязательство администрации муниципального округа, городского округа о достижении значений показателей результативности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проверки Минэкономразвития Чувашии соблюдения администрацией муниципального округа, городского округа условий и целей предоставления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возврата не использованных администрацией муниципального округа, городского округа остатков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возврата гранта в случаях выявления Минэкономразвития Чувашии или органами государственного финансового контроля фактов нарушения условий предоставления гранта, недостижения значений показателей результативности использования гранта, нецелевого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порядок, сроки и формы представления отчетности об использовании гранта и отчетности о достижении значений показателей результативности использования гранта.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Минэкономразвития Чувашии вправе предусматривать в соглашениях иные условия, определенные нормативными правовыми актами Российской Федерации и нормативными правовыми актами Чувашской Республики, регулирующими порядок предоставления из республиканского бюджета Чувашской Республики средств с учетом отраслевых особенностей.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Внесение в соглашение изменений, предусматривающих ухудшение значений результативности использования гранта,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гранта оказалось невозможным вследствие обстоятельств непреодолимой силы, препятствующих исполнению соответствующих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 Условиями предоставления гранта являются положительное решение Комиссии и наличие соглашения, заключенного между Минэкономразвития Чувашии и администрацией муниципального округа, городского округа.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 Гранты администрациями муниципальных округов, городских округов направляются на исполнение расходных обязательств по решению вопросов местного значения на создание условий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развития сельскохозяйственного производства, расширения рынка сбыта сельскохозяйственной продукции, сырья и продовольствия;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содействия развитию малого и среднего предпринимательства в сфере производства сельскохозяйственной продукции и продовольствия;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обеспечения жителей муниципального, городского округа услугами торговли и общественного питания (в части создания многоформатной инфраструктуры для реализации продукции агропромышленного комплекса и пищевой продукции местных производителей).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возврата грантов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Получатель гранта ежеквартально не позднее 15 числа месяца, следующего за отчетным кварталом, представляет отчетность об использовании гранта и отчетность о достижении значений показателей результативности использования гранта.</w:t>
      </w:r>
    </w:p>
    <w:p>
      <w:pPr>
        <w:pStyle w:val="0"/>
        <w:jc w:val="both"/>
      </w:pPr>
      <w:r>
        <w:rPr>
          <w:sz w:val="24"/>
        </w:rPr>
        <w:t xml:space="preserve">(п. 4.1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Администрации муниципальных округов,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отчетах, целевое использование грантов, нарушение условий, установленных при предоставлении грантов, и обязательств, установленных соглашением.</w:t>
      </w:r>
    </w:p>
    <w:bookmarkStart w:id="143" w:name="P143"/>
    <w:bookmarkEnd w:id="1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В случае если администрацией муниципального округа, городского округа допущены нарушения обязательств, предусмотренных соглашением, в части достижения значений показателей результативности использования гранта и в срок до дня представления отчетности о достижении значений показателей результативности использования гранта в соответствии с соглашением в году, следующем за годом предоставления гранта, указанные нарушения не устранены, возврат средств гранта в республиканский бюджет Чувашской Республики осуществляется в срок не позднее 30 календарных дней со дня представления отчетности о достижении значений показателей результативности использования гранта.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средств, подлежащих возврату в республиканский бюджет Чувашской Республики, по каждому значению показателей результативности использования гранта, установленному соглашением, с учетом их весовых коэффициентов (V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) рассчитывается по формуле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= V</w:t>
      </w:r>
      <w:r>
        <w:rPr>
          <w:sz w:val="24"/>
          <w:vertAlign w:val="subscript"/>
        </w:rPr>
        <w:t xml:space="preserve">гранта</w:t>
      </w:r>
      <w:r>
        <w:rPr>
          <w:sz w:val="24"/>
        </w:rPr>
        <w:t xml:space="preserve"> x (1 - 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) x k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гранта</w:t>
      </w:r>
      <w:r>
        <w:rPr>
          <w:sz w:val="24"/>
        </w:rPr>
        <w:t xml:space="preserve"> - размер средств, перечисляемых в виде гранта в бюджет муниципального округа, бюджет городского округа;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фактически достигнутое значение показателя результативности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плановое значение показателя результативности использования гранта, установленное соглашением;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 - весовой коэффициент показателя результативности использования гранта, установленный соглашением.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Основанием для освобождения муниципального округа, городского округа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>
      <w:pPr>
        <w:pStyle w:val="0"/>
        <w:jc w:val="both"/>
      </w:pPr>
      <w:r>
        <w:rPr>
          <w:sz w:val="24"/>
        </w:rPr>
        <w:t xml:space="preserve">(п. 4.3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12.03.2025 N 141)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Не использованные по состоянию на 1 января текущего финансового года остатки гранта, предоставленного из республиканского бюджета Чувашской Республики бюджету муниципального округа, бюджету городского округа, подлежат возврату в республиканский бюджет Чувашской Республики в течение первых 15 рабочих дней текущего финансового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В случае если неиспользованный остаток гранта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При наличии потребности в не использованном в текущем финансовом году остатке гранта указанный остаток в соответствии с решением Минэкономразвития Чувашии по согласованию с Минфином Чувашии может быть использован муниципальным округом, городским округом в текущем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округа, бюджета городского округа, источником финансового обеспечения которых является указанный грант.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В случае установления фактов нецелевого использования грантов, нарушения условий, установленных при предоставлении грантов, нарушения обязательств, предусмотренных в соглашениях в части достижения значений показателей результативности использования гранта, гранты подлежат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Возврат гранта в республиканский бюджет Чувашской Республики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фактов нарушения условий, установленных при предоставлении гранта, - в размере всей предоставленной суммы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нецелевого использования гранта - в размере суммы нецелевого использования гранта;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фактов нарушения обязательств, предусмотренных в соглашениях в части достижения значений показателей результативности использования гранта, - в соответствии с </w:t>
      </w:r>
      <w:hyperlink w:history="0" w:anchor="P143" w:tooltip="4.3. В случае если администрацией муниципального округа, городского округа допущены нарушения обязательств, предусмотренных соглашением, в части достижения значений показателей результативности использования гранта и в срок до дня представления отчетности о достижении значений показателей результативности использования гранта в соответствии с соглашением в году, следующем за годом предоставления гранта, указанные нарушения не устранены, возврат средств гранта в республиканский бюджет Чувашской Республики...">
        <w:r>
          <w:rPr>
            <w:sz w:val="24"/>
            <w:color w:val="0000ff"/>
          </w:rPr>
          <w:t xml:space="preserve">пунктом 4.3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Осуществление контроля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за соблюдением администрациями муниципальных округов, городских округов условий, установленных при предоставлении грантов, осуществляется Минэкономразвития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22.11.2023 N 738</w:t>
      </w:r>
    </w:p>
    <w:p>
      <w:pPr>
        <w:pStyle w:val="0"/>
        <w:jc w:val="right"/>
      </w:pPr>
      <w:r>
        <w:rPr>
          <w:sz w:val="24"/>
        </w:rPr>
        <w:t xml:space="preserve">(приложение N 2)</w:t>
      </w:r>
    </w:p>
    <w:p>
      <w:pPr>
        <w:pStyle w:val="0"/>
        <w:jc w:val="both"/>
      </w:pPr>
      <w:r>
        <w:rPr>
          <w:sz w:val="24"/>
        </w:rPr>
      </w:r>
    </w:p>
    <w:bookmarkStart w:id="180" w:name="P180"/>
    <w:bookmarkEnd w:id="180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ПОКАЗАТЕЛЕЙ, ХАРАКТЕРИЗУЮЩИХ УРОВЕНЬ СОДЕЙСТВИЯ ОРГАНОВ</w:t>
      </w:r>
    </w:p>
    <w:p>
      <w:pPr>
        <w:pStyle w:val="2"/>
        <w:jc w:val="center"/>
      </w:pPr>
      <w:r>
        <w:rPr>
          <w:sz w:val="24"/>
        </w:rPr>
        <w:t xml:space="preserve">МЕСТНОГО САМОУПРАВЛЕНИЯ МУНИЦИПАЛЬНЫХ И ГОРОДСКИХ ОКРУГОВ</w:t>
      </w:r>
    </w:p>
    <w:p>
      <w:pPr>
        <w:pStyle w:val="2"/>
        <w:jc w:val="center"/>
      </w:pPr>
      <w:r>
        <w:rPr>
          <w:sz w:val="24"/>
        </w:rPr>
        <w:t xml:space="preserve">В РАСШИРЕНИИ ПРОИЗВОДСТВА И ПРОДВИЖЕНИИ ПРОДУКЦИИ</w:t>
      </w:r>
    </w:p>
    <w:p>
      <w:pPr>
        <w:pStyle w:val="2"/>
        <w:jc w:val="center"/>
      </w:pPr>
      <w:r>
        <w:rPr>
          <w:sz w:val="24"/>
        </w:rPr>
        <w:t xml:space="preserve">АГРОПРОМЫШЛЕННОГО КОМПЛЕКСА И ПИЩЕВОЙ ПРОДУКЦИИ</w:t>
      </w:r>
    </w:p>
    <w:p>
      <w:pPr>
        <w:pStyle w:val="2"/>
        <w:jc w:val="center"/>
      </w:pPr>
      <w:r>
        <w:rPr>
          <w:sz w:val="24"/>
        </w:rPr>
        <w:t xml:space="preserve">МЕСТНЫХ ПРОИЗВОДИТЕЛЕЙ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Кабинета Министров ЧР от 12.03.2025 N 141)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"/>
        <w:gridCol w:w="2438"/>
        <w:gridCol w:w="1247"/>
        <w:gridCol w:w="1411"/>
        <w:gridCol w:w="3515"/>
      </w:tblGrid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показателей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за формирование показателя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расчета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представленности продукции местного производства в общем ассортименте торговых объектов (P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результаты обследований торговых объектов специалистами администраций муниципальных и городских округов.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= (SKU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/ SKU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)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SKU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- количество наименований продукции местного производства,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SKU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 - общее количество наименований продукции в торговых объектах, ед.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Динамика доли представленности продукции местного производства в общем ассортименте торговых объектов (P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процентных пункта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результаты ежеквартального мониторинга данных о доле представленности продукции местного производства в общем ассортименте торговых объектов, проводимого Минэкономразвития Чувашии.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= P</w:t>
            </w:r>
            <w:r>
              <w:rPr>
                <w:sz w:val="24"/>
                <w:vertAlign w:val="subscript"/>
              </w:rPr>
              <w:t xml:space="preserve">1 (на конец периода)</w:t>
            </w:r>
            <w:r>
              <w:rPr>
                <w:sz w:val="24"/>
              </w:rPr>
              <w:t xml:space="preserve"> - P</w:t>
            </w:r>
            <w:r>
              <w:rPr>
                <w:sz w:val="24"/>
                <w:vertAlign w:val="subscript"/>
              </w:rPr>
              <w:t xml:space="preserve">1 (на начало периода)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1 (на конец периода)</w:t>
            </w:r>
            <w:r>
              <w:rPr>
                <w:sz w:val="24"/>
              </w:rPr>
              <w:t xml:space="preserve"> - доля представленности продукции местного производства в общем ассортименте торговых объектов на конец отчетного периода, %;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1 (на начало периода)</w:t>
            </w:r>
            <w:r>
              <w:rPr>
                <w:sz w:val="24"/>
              </w:rPr>
              <w:t xml:space="preserve"> - доля представленности продукции местного производства в общем ассортименте торговых объектов на начало отчетного периода, %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объема розничной продажи пива и пивных напитков местного производства в общем объеме продажи пива и пивных напитков (P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) с весовым коэффициентом 0,15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= ОП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/ ОП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ОП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- объем розничной продажи пива и пивных напитков местного производства за отчетный период, тыс. дал;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ОП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 - общий объем розничной продажи пива и пивных напитков за отчетный период, тыс. дал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 роста (снижения) объема розничной продажи пива и пивных напитков местного производства (P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) с весовым коэффициентом 0,15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4</w:t>
            </w:r>
            <w:r>
              <w:rPr>
                <w:sz w:val="24"/>
              </w:rPr>
              <w:t xml:space="preserve"> = ОП</w:t>
            </w:r>
            <w:r>
              <w:rPr>
                <w:sz w:val="24"/>
                <w:vertAlign w:val="subscript"/>
              </w:rPr>
              <w:t xml:space="preserve">мп1</w:t>
            </w:r>
            <w:r>
              <w:rPr>
                <w:sz w:val="24"/>
              </w:rPr>
              <w:t xml:space="preserve"> / ОП</w:t>
            </w:r>
            <w:r>
              <w:rPr>
                <w:sz w:val="24"/>
                <w:vertAlign w:val="subscript"/>
              </w:rPr>
              <w:t xml:space="preserve">мп2</w:t>
            </w:r>
            <w:r>
              <w:rPr>
                <w:sz w:val="24"/>
              </w:rPr>
              <w:t xml:space="preserve">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ОП</w:t>
            </w:r>
            <w:r>
              <w:rPr>
                <w:sz w:val="24"/>
                <w:vertAlign w:val="subscript"/>
              </w:rPr>
              <w:t xml:space="preserve">мп1</w:t>
            </w:r>
            <w:r>
              <w:rPr>
                <w:sz w:val="24"/>
              </w:rPr>
              <w:t xml:space="preserve"> - объем розничной продажи пива и пивных напитков местного производства за отчетный период, тыс. дал;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ОП</w:t>
            </w:r>
            <w:r>
              <w:rPr>
                <w:sz w:val="24"/>
                <w:vertAlign w:val="subscript"/>
              </w:rPr>
              <w:t xml:space="preserve">мп2</w:t>
            </w:r>
            <w:r>
              <w:rPr>
                <w:sz w:val="24"/>
              </w:rPr>
              <w:t xml:space="preserve"> - объем розничной продажи пива и пивных напитков местного производства за аналогичный период прошлого года, тыс. дал</w:t>
            </w:r>
          </w:p>
        </w:tc>
      </w:tr>
      <w:tr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 на 1000 чел. (P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список нестационарных торговых объектов, предоставленных администрациями муниципальных округов, городских округов.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5</w:t>
            </w:r>
            <w:r>
              <w:rPr>
                <w:sz w:val="24"/>
              </w:rPr>
              <w:t xml:space="preserve"> = К</w:t>
            </w:r>
            <w:r>
              <w:rPr>
                <w:sz w:val="24"/>
                <w:vertAlign w:val="subscript"/>
              </w:rPr>
              <w:t xml:space="preserve">нто</w:t>
            </w:r>
            <w:r>
              <w:rPr>
                <w:sz w:val="24"/>
              </w:rPr>
              <w:t xml:space="preserve"> / 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</w:t>
            </w:r>
            <w:r>
              <w:rPr>
                <w:sz w:val="24"/>
                <w:vertAlign w:val="subscript"/>
              </w:rPr>
              <w:t xml:space="preserve">нто</w:t>
            </w:r>
            <w:r>
              <w:rPr>
                <w:sz w:val="24"/>
              </w:rPr>
              <w:t xml:space="preserve"> - 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населения муниципального округа (городского округа), тыс. человек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35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5 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Кабинета Министров ЧР от 12.03.2025 N 141)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фирменных магазинов, отделов местных производителей на 1000 чел. (P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список фирменных магазинов, отделов местных производителей, предоставленных администрациями муниципальных и городских округов.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= Ф / 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 - количество фирменных магазинов, отделов местных производителей,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населения муниципального округа (городского округа), тыс. человек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 роста количества торговых объектов не менее чем на 1 процент по отношению к предыдущему календарному году (P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) с весовым коэффициентом 0,05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список торговых объектов, предоставленных администрациями муниципальных и городских округов.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7</w:t>
            </w:r>
            <w:r>
              <w:rPr>
                <w:sz w:val="24"/>
              </w:rPr>
              <w:t xml:space="preserve"> = К</w:t>
            </w:r>
            <w:r>
              <w:rPr>
                <w:sz w:val="24"/>
                <w:vertAlign w:val="subscript"/>
              </w:rPr>
              <w:t xml:space="preserve">то1</w:t>
            </w:r>
            <w:r>
              <w:rPr>
                <w:sz w:val="24"/>
              </w:rPr>
              <w:t xml:space="preserve"> / К</w:t>
            </w:r>
            <w:r>
              <w:rPr>
                <w:sz w:val="24"/>
                <w:vertAlign w:val="subscript"/>
              </w:rPr>
              <w:t xml:space="preserve">то2</w:t>
            </w:r>
            <w:r>
              <w:rPr>
                <w:sz w:val="24"/>
              </w:rPr>
              <w:t xml:space="preserve">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</w:t>
            </w:r>
            <w:r>
              <w:rPr>
                <w:sz w:val="24"/>
                <w:vertAlign w:val="subscript"/>
              </w:rPr>
              <w:t xml:space="preserve">то1</w:t>
            </w:r>
            <w:r>
              <w:rPr>
                <w:sz w:val="24"/>
              </w:rPr>
              <w:t xml:space="preserve"> - количество торговых объектов согласно списку торговых объектов за отчетный период,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</w:t>
            </w:r>
            <w:r>
              <w:rPr>
                <w:sz w:val="24"/>
                <w:vertAlign w:val="subscript"/>
              </w:rPr>
              <w:t xml:space="preserve">то2</w:t>
            </w:r>
            <w:r>
              <w:rPr>
                <w:sz w:val="24"/>
              </w:rPr>
              <w:t xml:space="preserve"> - количество торговых объектов согласно списку торговых объектов за аналогичный период прошлого года, ед.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проведенных ярмарок "выходного дня", сельскохозяйственных, специализированных, тематических ярмарок на 1000 чел. (P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ежеквартальная информация об итогах проведения ярмарок, представленная администрациями муниципальных и городских округов.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8</w:t>
            </w:r>
            <w:r>
              <w:rPr>
                <w:sz w:val="24"/>
              </w:rPr>
              <w:t xml:space="preserve"> = Я / 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Я - количество ярмарок "выходного дня", сельскохозяйственных, специализированных, тематических ярмарок,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Ч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населения муниципального округа (городского округа), тыс. человек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      </w:r>
            <w:hyperlink w:history="0" r:id="rId9">
              <w:r>
                <w:rPr>
                  <w:sz w:val="24"/>
                  <w:color w:val="0000ff"/>
                </w:rPr>
                <w:t xml:space="preserve">http://geo.cap.ru</w:t>
              </w:r>
            </w:hyperlink>
            <w:r>
              <w:rPr>
                <w:sz w:val="24"/>
              </w:rPr>
              <w:t xml:space="preserve"> (P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), с весовым коэффициентом 0,05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ежеквартальная информация о вновь открытых объектах потребительского рынка, представленная администрациями муниципальных и городских округов, и сравнение ее с данными Регионального портала пространственных данных Чувашской Республики </w:t>
            </w:r>
            <w:hyperlink w:history="0" r:id="rId10">
              <w:r>
                <w:rPr>
                  <w:sz w:val="24"/>
                  <w:color w:val="0000ff"/>
                </w:rPr>
                <w:t xml:space="preserve">http://geo.cap.ru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9</w:t>
            </w:r>
            <w:r>
              <w:rPr>
                <w:sz w:val="24"/>
              </w:rPr>
              <w:t xml:space="preserve"> = К</w:t>
            </w:r>
            <w:r>
              <w:rPr>
                <w:sz w:val="24"/>
                <w:vertAlign w:val="subscript"/>
              </w:rPr>
              <w:t xml:space="preserve">зо</w:t>
            </w:r>
            <w:r>
              <w:rPr>
                <w:sz w:val="24"/>
              </w:rPr>
              <w:t xml:space="preserve"> / К</w:t>
            </w:r>
            <w:r>
              <w:rPr>
                <w:sz w:val="24"/>
                <w:vertAlign w:val="subscript"/>
              </w:rPr>
              <w:t xml:space="preserve">но</w:t>
            </w:r>
            <w:r>
              <w:rPr>
                <w:sz w:val="24"/>
              </w:rPr>
              <w:t xml:space="preserve">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</w:t>
            </w:r>
            <w:r>
              <w:rPr>
                <w:sz w:val="24"/>
                <w:vertAlign w:val="subscript"/>
              </w:rPr>
              <w:t xml:space="preserve">зо</w:t>
            </w:r>
            <w:r>
              <w:rPr>
                <w:sz w:val="24"/>
              </w:rPr>
              <w:t xml:space="preserve"> - количество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      </w:r>
            <w:hyperlink w:history="0" r:id="rId11">
              <w:r>
                <w:rPr>
                  <w:sz w:val="24"/>
                  <w:color w:val="0000ff"/>
                </w:rPr>
                <w:t xml:space="preserve">http://geo.cap.ru</w:t>
              </w:r>
            </w:hyperlink>
            <w:r>
              <w:rPr>
                <w:sz w:val="24"/>
              </w:rPr>
              <w:t xml:space="preserve">, за отчетный период, ед.;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</w:t>
            </w:r>
            <w:r>
              <w:rPr>
                <w:sz w:val="24"/>
                <w:vertAlign w:val="subscript"/>
              </w:rPr>
              <w:t xml:space="preserve">но</w:t>
            </w:r>
            <w:r>
              <w:rPr>
                <w:sz w:val="24"/>
              </w:rPr>
              <w:t xml:space="preserve"> - количество вновь открытых объектов потребительского рынка за отчетный период, ед.</w:t>
            </w:r>
          </w:p>
        </w:tc>
      </w:tr>
      <w:tr>
        <w:tc>
          <w:tcPr>
            <w:tcW w:w="42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объема розничной продажи алкогольной продукции местного производства в общем объеме продажи алкогольной продукции (P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) с весовым коэффициентом 0,1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процентов</w:t>
            </w:r>
          </w:p>
        </w:tc>
        <w:tc>
          <w:tcPr>
            <w:tcW w:w="141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P</w:t>
            </w:r>
            <w:r>
              <w:rPr>
                <w:sz w:val="24"/>
                <w:vertAlign w:val="subscript"/>
              </w:rPr>
              <w:t xml:space="preserve">10</w:t>
            </w:r>
            <w:r>
              <w:rPr>
                <w:sz w:val="24"/>
              </w:rPr>
              <w:t xml:space="preserve"> = (ОА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/ ОА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) x 100,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ОА</w:t>
            </w:r>
            <w:r>
              <w:rPr>
                <w:sz w:val="24"/>
                <w:vertAlign w:val="subscript"/>
              </w:rPr>
              <w:t xml:space="preserve">мп</w:t>
            </w:r>
            <w:r>
              <w:rPr>
                <w:sz w:val="24"/>
              </w:rPr>
              <w:t xml:space="preserve"> - объем розничной продажи алкогольной продукции местного производства за отчетный период, тыс. дал;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ОА</w:t>
            </w:r>
            <w:r>
              <w:rPr>
                <w:sz w:val="24"/>
                <w:vertAlign w:val="subscript"/>
              </w:rPr>
              <w:t xml:space="preserve">общ</w:t>
            </w:r>
            <w:r>
              <w:rPr>
                <w:sz w:val="24"/>
              </w:rPr>
              <w:t xml:space="preserve"> - общий объем розничной продажи алкогольной продукции за отчетный период, тыс. 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22.11.2023 N 738</w:t>
      </w:r>
    </w:p>
    <w:p>
      <w:pPr>
        <w:pStyle w:val="0"/>
        <w:jc w:val="right"/>
      </w:pPr>
      <w:r>
        <w:rPr>
          <w:sz w:val="24"/>
        </w:rPr>
        <w:t xml:space="preserve">(приложение N 3)</w:t>
      </w:r>
    </w:p>
    <w:p>
      <w:pPr>
        <w:pStyle w:val="0"/>
        <w:jc w:val="both"/>
      </w:pPr>
      <w:r>
        <w:rPr>
          <w:sz w:val="24"/>
        </w:rPr>
      </w:r>
    </w:p>
    <w:bookmarkStart w:id="305" w:name="P305"/>
    <w:bookmarkEnd w:id="305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КОНКУРСНОЙ КОМИССИИ ПО РАССМОТРЕНИЮ И ОЦЕНКЕ РЕЗУЛЬТАТОВ</w:t>
      </w:r>
    </w:p>
    <w:p>
      <w:pPr>
        <w:pStyle w:val="2"/>
        <w:jc w:val="center"/>
      </w:pPr>
      <w:r>
        <w:rPr>
          <w:sz w:val="24"/>
        </w:rPr>
        <w:t xml:space="preserve">ДЕЯТЕЛЬНОСТИ ОРГАНОВ МЕСТНОГО САМОУПРАВЛЕНИЯ МУНИЦИПАЛЬНЫХ</w:t>
      </w:r>
    </w:p>
    <w:p>
      <w:pPr>
        <w:pStyle w:val="2"/>
        <w:jc w:val="center"/>
      </w:pPr>
      <w:r>
        <w:rPr>
          <w:sz w:val="24"/>
        </w:rPr>
        <w:t xml:space="preserve">И ГОРОДСКИХ ОКРУГОВ ПО СОДЕЙСТВИЮ В РАСШИРЕНИИ ПРОИЗВОДСТВА</w:t>
      </w:r>
    </w:p>
    <w:p>
      <w:pPr>
        <w:pStyle w:val="2"/>
        <w:jc w:val="center"/>
      </w:pPr>
      <w:r>
        <w:rPr>
          <w:sz w:val="24"/>
        </w:rPr>
        <w:t xml:space="preserve">И ПРОДВИЖЕНИИ ПРОДУКЦИИ АГРОПРОМЫШЛЕННОГО КОМПЛЕКСА</w:t>
      </w:r>
    </w:p>
    <w:p>
      <w:pPr>
        <w:pStyle w:val="2"/>
        <w:jc w:val="center"/>
      </w:pPr>
      <w:r>
        <w:rPr>
          <w:sz w:val="24"/>
        </w:rPr>
        <w:t xml:space="preserve">И ПИЩЕВОЙ ПРОДУКЦИИ МЕСТНЫХ ПРОИЗВОДИТЕЛЕЙ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Конкурсная комиссия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(далее - Комиссия) создается для подведения итогов по результатам оценки значений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 (далее - показатели).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Комиссия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законами, иными нормативными правовыми актами Российской Федерации,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Функции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Комиссия выполняет следующие функции: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оценку значений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ежегодно определяет муниципальные округа, городские округа, достигшие наилучших значений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подводит итоги результатов оценки значений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готовит предложение по распределению средств, предусмотренных на выплату грантов Главы Чувашской Республики муниципальным округам, городским округам, которые заняли призовые места.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 и организация деятельности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Состав Комиссии утверждается распоряжением Кабинета Министров Чувашской Республики. В состав Комиссии входят председатель Комиссии, его заместитель и секретарь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Комиссии включаются представители исполнительных органов Чувашской Республики, а также по согласованию представители территориальных органов федеральных органов исполнительной власти, Государственного Совета Чувашской Республики, общественных и иных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Председателем Комиссии является министр экономического развития и имущественных отношений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Заседание Комиссии проводит председатель Комиссии, а в его отсутствие - заместитель председателя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Заседание Комиссии проводится ежегодно для подведения итогов по результатам оценки значений показателей до 1 июня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экономического развития и имущественных отношений Чувашской Республики обеспечивает предоставление расчетов значений показателей членам Комиссии в срок до 25 мая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Заседание Комиссии считается правомочным, если в нем принимает участие не менее двух третей членов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Оценка значений показателей и подведение итогов по результатам их оценки производятся Комиссией в соответствии с Положением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производителей, утвержденным постановлением Кабинета Министров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заседания Комиссии. При равенстве голосов голос председательствующего на заседании Комиссии является решающим.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 заседания Комиссии оформляется ответственным секретарем Комиссии и подписывается председательствующим на заседании Комиссии в течение трех рабочих дней со дня проведения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Организационно-техническое обеспечение деятельности Комиссии осуществляется Министерством экономического развития и имущественных отношений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Министерство экономического развития и имущественных отношений Чувашской Республики обеспечивает хранение и передачу в архив протоколов заседаний Комиссии.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22.11.2023 N 738</w:t>
            <w:br/>
            <w:t>(ред. от 12.03.2025)</w:t>
            <w:br/>
            <w:t>"О порядке присуждения грантов Главы Чувашс...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://geo.cap.ru" TargetMode = "External"/>
	<Relationship Id="rId8" Type="http://schemas.openxmlformats.org/officeDocument/2006/relationships/image" Target="media/image2.wmf"/>
	<Relationship Id="rId9" Type="http://schemas.openxmlformats.org/officeDocument/2006/relationships/hyperlink" Target="http://geo.cap.ru" TargetMode = "External"/>
	<Relationship Id="rId10" Type="http://schemas.openxmlformats.org/officeDocument/2006/relationships/hyperlink" Target="http://geo.cap.ru" TargetMode = "External"/>
	<Relationship Id="rId11" Type="http://schemas.openxmlformats.org/officeDocument/2006/relationships/hyperlink" Target="http://geo.cap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22.11.2023 N 738
(ред. от 12.03.2025)
"О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производителей"
(вместе с "Положением о конкурсной комиссии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</dc:title>
  <dcterms:created xsi:type="dcterms:W3CDTF">2025-03-24T12:06:48Z</dcterms:created>
</cp:coreProperties>
</file>