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tblpX="40" w:tblpY="1259"/>
        <w:tblW w:w="9224" w:type="dxa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>
        <w:trPr>
          <w:trHeight w:val="1418"/>
        </w:trPr>
        <w:tc>
          <w:tcPr>
            <w:tcW w:w="3799" w:type="dxa"/>
          </w:tcPr>
          <w:p>
            <w:pPr>
              <w:keepNext/>
              <w:ind w:left="-851" w:right="-102" w:firstLine="709"/>
              <w:jc w:val="both"/>
              <w:outlineLvl w:val="2"/>
              <w:rPr>
                <w:b/>
                <w:spacing w:val="40"/>
              </w:rPr>
            </w:pPr>
          </w:p>
          <w:p>
            <w:pPr>
              <w:keepNext/>
              <w:ind w:left="-851" w:right="-102" w:firstLine="709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Чувашская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Республика</w:t>
            </w:r>
          </w:p>
          <w:p>
            <w:pPr>
              <w:ind w:left="-851" w:firstLine="709"/>
              <w:jc w:val="center"/>
              <w:rPr>
                <w:sz w:val="8"/>
              </w:rPr>
            </w:pPr>
          </w:p>
          <w:p>
            <w:pPr>
              <w:keepNext/>
              <w:ind w:left="-851" w:right="-102" w:firstLine="709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городское</w:t>
            </w:r>
          </w:p>
          <w:p>
            <w:pPr>
              <w:keepNext/>
              <w:ind w:left="-851" w:right="-102" w:firstLine="709"/>
              <w:jc w:val="center"/>
              <w:outlineLvl w:val="2"/>
              <w:rPr>
                <w:rFonts w:ascii="Baltica Chv" w:hAnsi="Baltica Chv"/>
              </w:rPr>
            </w:pPr>
            <w:r>
              <w:rPr>
                <w:b/>
                <w:spacing w:val="40"/>
              </w:rPr>
              <w:t>Собрание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депутатов</w:t>
            </w:r>
          </w:p>
          <w:p>
            <w:pPr>
              <w:ind w:left="-851" w:right="-102" w:firstLine="709"/>
              <w:jc w:val="center"/>
              <w:rPr>
                <w:rFonts w:ascii="Baltica Chv" w:hAnsi="Baltica Chv"/>
                <w:b/>
              </w:rPr>
            </w:pPr>
          </w:p>
          <w:p>
            <w:pPr>
              <w:keepNext/>
              <w:ind w:left="-851" w:firstLine="709"/>
              <w:jc w:val="center"/>
              <w:outlineLvl w:val="3"/>
              <w:rPr>
                <w:rFonts w:ascii="Baltica Chv" w:hAnsi="Baltica Chv"/>
                <w:b/>
                <w:caps/>
                <w:spacing w:val="40"/>
              </w:rPr>
            </w:pPr>
            <w:r>
              <w:rPr>
                <w:b/>
                <w:caps/>
                <w:spacing w:val="40"/>
              </w:rPr>
              <w:t>РЕШЕНИЕ</w:t>
            </w:r>
          </w:p>
        </w:tc>
        <w:tc>
          <w:tcPr>
            <w:tcW w:w="1588" w:type="dxa"/>
          </w:tcPr>
          <w:p>
            <w:pPr>
              <w:ind w:left="-851" w:right="-1" w:firstLine="709"/>
              <w:jc w:val="both"/>
              <w:rPr>
                <w:noProof/>
              </w:rPr>
            </w:pPr>
          </w:p>
          <w:p>
            <w:pPr>
              <w:ind w:left="-851" w:right="-1" w:firstLine="709"/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6735" cy="695960"/>
                  <wp:effectExtent l="0" t="0" r="5715" b="8890"/>
                  <wp:docPr id="2" name="Рисунок 2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851" w:right="-107" w:firstLine="709"/>
              <w:jc w:val="both"/>
              <w:outlineLvl w:val="2"/>
              <w:rPr>
                <w:b/>
                <w:spacing w:val="40"/>
              </w:rPr>
            </w:pPr>
          </w:p>
          <w:p>
            <w:pPr>
              <w:keepNext/>
              <w:ind w:left="-851" w:right="-107" w:firstLine="709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Чǎваш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Республики</w:t>
            </w:r>
          </w:p>
          <w:p>
            <w:pPr>
              <w:ind w:left="-851" w:firstLine="709"/>
              <w:jc w:val="both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851" w:right="-107" w:firstLine="709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Шупашкар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хулин</w:t>
            </w:r>
          </w:p>
          <w:p>
            <w:pPr>
              <w:keepNext/>
              <w:ind w:left="-851" w:right="-107" w:firstLine="709"/>
              <w:jc w:val="center"/>
              <w:outlineLvl w:val="2"/>
              <w:rPr>
                <w:rFonts w:ascii="Baltica Chv" w:hAnsi="Baltica Chv"/>
                <w:b/>
                <w:spacing w:val="40"/>
              </w:rPr>
            </w:pPr>
            <w:r>
              <w:rPr>
                <w:b/>
                <w:spacing w:val="40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</w:rPr>
              <w:t xml:space="preserve"> </w:t>
            </w:r>
            <w:r>
              <w:rPr>
                <w:b/>
                <w:spacing w:val="40"/>
              </w:rPr>
              <w:t>Пухăвĕ</w:t>
            </w:r>
          </w:p>
          <w:p>
            <w:pPr>
              <w:ind w:left="-851" w:firstLine="709"/>
              <w:jc w:val="both"/>
              <w:rPr>
                <w:rFonts w:ascii="Baltica Chv" w:hAnsi="Baltica Chv"/>
                <w:b/>
                <w:spacing w:val="40"/>
              </w:rPr>
            </w:pPr>
          </w:p>
          <w:p>
            <w:pPr>
              <w:keepNext/>
              <w:ind w:left="-851" w:right="-102" w:firstLine="709"/>
              <w:jc w:val="center"/>
              <w:outlineLvl w:val="2"/>
              <w:rPr>
                <w:b/>
                <w:spacing w:val="40"/>
              </w:rPr>
            </w:pPr>
            <w:r>
              <w:rPr>
                <w:b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10 апреля 2025 года № 1986</w:t>
      </w:r>
    </w:p>
    <w:p>
      <w:pPr>
        <w:pStyle w:val="31"/>
        <w:ind w:right="4394"/>
        <w:rPr>
          <w:rFonts w:eastAsiaTheme="minorHAnsi"/>
          <w:bCs/>
          <w:lang w:eastAsia="en-US"/>
        </w:rPr>
      </w:pPr>
      <w:bookmarkStart w:id="0" w:name="_GoBack"/>
      <w:bookmarkEnd w:id="0"/>
    </w:p>
    <w:p>
      <w:pPr>
        <w:ind w:right="453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решение Чебоксарского городского Собрания депутатов от 30 мая 2023 года № 1211 «Об утверждении Правил благоустройства территории города Чебоксары»</w:t>
      </w:r>
    </w:p>
    <w:p>
      <w:pPr>
        <w:ind w:firstLine="709"/>
        <w:jc w:val="both"/>
        <w:rPr>
          <w:bCs/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bookmarkStart w:id="1" w:name="sub_19814"/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6 октября 2023 года № 131–ФЗ «Об общих принципах организации местного самоуправления в Российской Федерации», Законом Чувашской Республики от 18 октября 2004 года № 19 «Об организации местного самоуправления в Чувашской Республике», Законом Чувашской Республики от 21 декабря 2018 года № 102 «О порядке определения границ прилегающих территорий в Чувашской Республике» и руководствуясь Уставом </w:t>
      </w:r>
      <w:r>
        <w:rPr>
          <w:rFonts w:eastAsiaTheme="minorHAnsi"/>
          <w:sz w:val="28"/>
          <w:szCs w:val="28"/>
          <w:lang w:eastAsia="en-US"/>
        </w:rPr>
        <w:t>городского округа город Чебоксары Чувашской Республики</w:t>
      </w:r>
      <w:r>
        <w:rPr>
          <w:sz w:val="28"/>
          <w:szCs w:val="28"/>
        </w:rPr>
        <w:t>, принятым решением Чебоксарского городского Собрания депутатов от 30 ноября 2005 года № 40,</w:t>
      </w:r>
    </w:p>
    <w:p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8"/>
          <w:szCs w:val="8"/>
          <w:lang w:eastAsia="en-US"/>
        </w:rPr>
      </w:pPr>
    </w:p>
    <w:p>
      <w:pPr>
        <w:autoSpaceDE w:val="0"/>
        <w:autoSpaceDN w:val="0"/>
        <w:adjustRightInd w:val="0"/>
        <w:spacing w:after="120" w:line="312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Чебоксарское городское Собрание депутатов</w:t>
      </w:r>
    </w:p>
    <w:p>
      <w:pPr>
        <w:autoSpaceDE w:val="0"/>
        <w:autoSpaceDN w:val="0"/>
        <w:adjustRightInd w:val="0"/>
        <w:spacing w:after="120" w:line="312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 Е Ш И Л О:</w:t>
      </w:r>
    </w:p>
    <w:p>
      <w:pPr>
        <w:autoSpaceDE w:val="0"/>
        <w:autoSpaceDN w:val="0"/>
        <w:adjustRightInd w:val="0"/>
        <w:jc w:val="center"/>
        <w:rPr>
          <w:sz w:val="8"/>
          <w:szCs w:val="8"/>
        </w:rPr>
      </w:pP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преамбуле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решения Чебоксарского городского Собрания депутатов от 30 мая 2023 года № 1211 «Об утверждении Правил благоустройства территории города Чебоксары» (в редакции решений Чебоксарского городского Собрания депутатов от 5 марта 2024 года                       № 1520, </w:t>
      </w:r>
      <w:r>
        <w:rPr>
          <w:rFonts w:eastAsiaTheme="minorHAnsi"/>
          <w:sz w:val="28"/>
          <w:szCs w:val="28"/>
          <w:lang w:eastAsia="en-US"/>
        </w:rPr>
        <w:t xml:space="preserve">от 30 мая 2024 года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№ 1630</w:t>
        </w:r>
      </w:hyperlink>
      <w:r>
        <w:rPr>
          <w:rFonts w:eastAsiaTheme="minorHAnsi"/>
          <w:sz w:val="28"/>
          <w:szCs w:val="28"/>
          <w:lang w:eastAsia="en-US"/>
        </w:rPr>
        <w:t xml:space="preserve">, от </w:t>
      </w:r>
      <w:r>
        <w:rPr>
          <w:sz w:val="28"/>
          <w:szCs w:val="28"/>
        </w:rPr>
        <w:t>19 декабря 2024 года № 1867) слова «</w:t>
      </w:r>
      <w:r>
        <w:rPr>
          <w:rFonts w:eastAsiaTheme="minorHAnsi"/>
          <w:sz w:val="28"/>
          <w:szCs w:val="28"/>
        </w:rPr>
        <w:t xml:space="preserve">муниципального образования города Чебоксары – столицы </w:t>
      </w:r>
      <w:r>
        <w:rPr>
          <w:rFonts w:eastAsiaTheme="minorHAnsi"/>
          <w:sz w:val="28"/>
          <w:szCs w:val="28"/>
        </w:rPr>
        <w:lastRenderedPageBreak/>
        <w:t>Чувашской Республики</w:t>
      </w:r>
      <w:r>
        <w:rPr>
          <w:sz w:val="28"/>
          <w:szCs w:val="28"/>
        </w:rPr>
        <w:t>» заменить словами «</w:t>
      </w:r>
      <w:r>
        <w:rPr>
          <w:rFonts w:eastAsiaTheme="minorHAnsi"/>
          <w:sz w:val="28"/>
          <w:szCs w:val="28"/>
        </w:rPr>
        <w:t>городского округа город Чебоксары Чувашской Республики</w:t>
      </w:r>
      <w:r>
        <w:rPr>
          <w:sz w:val="28"/>
          <w:szCs w:val="28"/>
        </w:rPr>
        <w:t>».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sz w:val="28"/>
          <w:szCs w:val="28"/>
        </w:rPr>
        <w:t xml:space="preserve">нести в </w:t>
      </w:r>
      <w:hyperlink r:id="rId10" w:history="1">
        <w:r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Правила</w:t>
        </w:r>
      </w:hyperlink>
      <w:r>
        <w:rPr>
          <w:rFonts w:eastAsiaTheme="minorHAnsi"/>
          <w:sz w:val="28"/>
          <w:szCs w:val="28"/>
          <w:lang w:eastAsia="en-US"/>
        </w:rPr>
        <w:t xml:space="preserve"> благоустройства территории города Чебоксары, </w:t>
      </w:r>
      <w:r>
        <w:rPr>
          <w:sz w:val="28"/>
          <w:szCs w:val="28"/>
        </w:rPr>
        <w:t xml:space="preserve">утвержденные решением Чебоксарского городского Собрания депутатов от 30 мая 2023 года № 1211, </w:t>
      </w:r>
      <w:r>
        <w:rPr>
          <w:rFonts w:eastAsia="Calibri"/>
          <w:sz w:val="28"/>
          <w:szCs w:val="28"/>
          <w:lang w:eastAsia="en-US"/>
        </w:rPr>
        <w:t>следующие</w:t>
      </w:r>
      <w:r>
        <w:rPr>
          <w:sz w:val="28"/>
          <w:szCs w:val="28"/>
        </w:rPr>
        <w:t xml:space="preserve"> изменения: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разделе 1: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 в пункте 1.4 абзацы со второго по восьмой исключить;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дополнить пунктом 1.4.1 следующего содержания: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sz w:val="28"/>
          <w:szCs w:val="28"/>
        </w:rPr>
        <w:t>1.4.1. В целях настоящих Правил благоустройства используются следующие основные понятия: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Зеленые насаждения – совокупность древесных, кустарниковых, травянистых растений и живого напочвенного покрова на определенной территории.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Газон – элемент благоустройства с естественным или специально созданным травянистым покровом, а также с иными произрастающими растениями.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Озелененная территория общего пользования – озелененная территория, предназначенная для различных форм отдыха. К озелененным территория общего пользования относятся лесопарки, парки, сады, скверы, бульвары, городские леса, а также земельные участки с естественным произрастанием зеленых насаждений.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Сквер – озелененная территория общего пользования небольшого размера, являющаяся элементом оформления площади, общественного центра, магистрали, используемая для кратковременного отдыха и пешеходного транзитного движения.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Бульвар – озелененная территория общего пользования вдоль магистралей, набережных в виде полосы различной ширины, предназначенная для пешеходного транзитного движения и кратковременного отдыха.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Компенсационная стоимость – стоимостная оценка зеленых насаждений, устанавливаемая для учета их ценности при выдаче ордера-разрешения на вырубку (снос) зеленых насаждений.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Здание </w:t>
      </w:r>
      <w:r>
        <w:rPr>
          <w:sz w:val="28"/>
          <w:szCs w:val="28"/>
          <w:bdr w:val="none" w:sz="0" w:space="0" w:color="auto" w:frame="1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Сооружение </w:t>
      </w:r>
      <w:r>
        <w:rPr>
          <w:sz w:val="28"/>
          <w:szCs w:val="28"/>
          <w:bdr w:val="none" w:sz="0" w:space="0" w:color="auto" w:frame="1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Строение </w:t>
      </w:r>
      <w:r>
        <w:rPr>
          <w:sz w:val="28"/>
          <w:szCs w:val="28"/>
          <w:bdr w:val="none" w:sz="0" w:space="0" w:color="auto" w:frame="1"/>
        </w:rPr>
        <w:t xml:space="preserve">– </w:t>
      </w:r>
      <w:r>
        <w:rPr>
          <w:rFonts w:eastAsiaTheme="minorHAnsi"/>
          <w:iCs/>
          <w:sz w:val="28"/>
          <w:szCs w:val="28"/>
          <w:lang w:eastAsia="en-US"/>
        </w:rPr>
        <w:t>отдельно построенное здание, дом, состоящие из одной или нескольких частей, как одно целое, а также служебное строение.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Style w:val="s10"/>
          <w:rFonts w:eastAsiaTheme="majorEastAsia"/>
          <w:bCs/>
          <w:sz w:val="28"/>
          <w:szCs w:val="28"/>
          <w:shd w:val="clear" w:color="auto" w:fill="FFFFFF"/>
        </w:rPr>
        <w:t>Улично-дорожная сеть</w:t>
      </w:r>
      <w:r>
        <w:rPr>
          <w:rStyle w:val="s10"/>
          <w:rFonts w:eastAsiaTheme="majorEastAsia"/>
          <w:bCs/>
          <w:shd w:val="clear" w:color="auto" w:fill="FFFFFF"/>
        </w:rPr>
        <w:t xml:space="preserve"> </w:t>
      </w:r>
      <w:r>
        <w:rPr>
          <w:sz w:val="28"/>
          <w:szCs w:val="28"/>
          <w:bdr w:val="none" w:sz="0" w:space="0" w:color="auto" w:frame="1"/>
        </w:rPr>
        <w:t>–</w:t>
      </w:r>
      <w:r>
        <w:rPr>
          <w:rStyle w:val="s10"/>
          <w:rFonts w:eastAsiaTheme="majorEastAsia"/>
          <w:bCs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>истема объектов капитального строительства, включая улицы и дороги различных категорий и входящие в их состав объекты дорожно-мостового строительства (путепроводы, мосты, туннели, эстакады и другие подобные сооружения).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Элемент улично-дорожной сети </w:t>
      </w:r>
      <w:r>
        <w:rPr>
          <w:sz w:val="28"/>
          <w:szCs w:val="28"/>
          <w:bdr w:val="none" w:sz="0" w:space="0" w:color="auto" w:frame="1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улица, проспект, переулок, проезд, площадь, бульвар, тупик, съезд, шоссе, аллея.».</w:t>
      </w:r>
    </w:p>
    <w:p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2.2. </w:t>
      </w:r>
      <w:r>
        <w:rPr>
          <w:sz w:val="28"/>
          <w:szCs w:val="28"/>
        </w:rPr>
        <w:t>Раздел 19 дополнить пунктом 19.1.1 следующего содержания</w:t>
      </w:r>
      <w:r>
        <w:t>: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«19.1.1. В целях исключения возможного разрытия вновь построенных (реконструированных) улиц, скверов организации, планирующие в предстоящем году осуществление работ по строительству, реконструкции, капитальному ремонту и ремонту подземных сетей в срок </w:t>
      </w:r>
      <w:r>
        <w:rPr>
          <w:sz w:val="28"/>
          <w:szCs w:val="28"/>
        </w:rPr>
        <w:lastRenderedPageBreak/>
        <w:t>до 30 октября года, предшествующего строительству, представляют в администрацию города Чебоксары информацию о намеченных работах по прокладке коммуникаций с указанием предполагаемых сроков производства работ.».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2.3. Пункт 20.2.1 раздела </w:t>
      </w:r>
      <w:r>
        <w:rPr>
          <w:bCs/>
          <w:sz w:val="28"/>
          <w:szCs w:val="28"/>
        </w:rPr>
        <w:t xml:space="preserve">20 </w:t>
      </w:r>
      <w:r>
        <w:rPr>
          <w:sz w:val="28"/>
          <w:szCs w:val="28"/>
        </w:rPr>
        <w:t>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«20.2.1. Уборку и содержание территории город</w:t>
      </w:r>
      <w:r>
        <w:rPr>
          <w:spacing w:val="-10"/>
          <w:sz w:val="28"/>
          <w:szCs w:val="28"/>
        </w:rPr>
        <w:t xml:space="preserve">а </w:t>
      </w:r>
      <w:r>
        <w:rPr>
          <w:sz w:val="28"/>
          <w:szCs w:val="28"/>
        </w:rPr>
        <w:t>Чебоксары в пределах охранных зон наземных сетей электро-, газо-, теплоснабжения обеспечивают правообладатели соответствующих земельных участков и организации, эксплуатирующие такие сети, в соответствии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11" w:tooltip="Приказ Минстроя РФ от 17.08.1992 N 197 &quot;О типовых правилах охраны коммунальных тепловых сетей&quot; {КонсультантПлюс}" w:history="1">
        <w:r>
          <w:rPr>
            <w:rStyle w:val="a4"/>
            <w:sz w:val="28"/>
            <w:szCs w:val="28"/>
          </w:rPr>
          <w:t>правила</w:t>
        </w:r>
      </w:hyperlink>
      <w:r>
        <w:rPr>
          <w:sz w:val="28"/>
          <w:szCs w:val="28"/>
        </w:rPr>
        <w:t>ми их охраны.».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2.4. </w:t>
      </w:r>
      <w:r>
        <w:rPr>
          <w:bCs/>
          <w:sz w:val="28"/>
          <w:szCs w:val="28"/>
        </w:rPr>
        <w:t xml:space="preserve">В </w:t>
      </w:r>
      <w:bookmarkStart w:id="2" w:name="_Toc146112734"/>
      <w:bookmarkStart w:id="3" w:name="_Toc105403906"/>
      <w:bookmarkStart w:id="4" w:name="_Toc94597006"/>
      <w:r>
        <w:rPr>
          <w:sz w:val="28"/>
          <w:szCs w:val="28"/>
        </w:rPr>
        <w:t>разделе 21</w:t>
      </w:r>
      <w:bookmarkEnd w:id="2"/>
      <w:bookmarkEnd w:id="3"/>
      <w:bookmarkEnd w:id="4"/>
      <w:r>
        <w:rPr>
          <w:bCs/>
          <w:sz w:val="28"/>
          <w:szCs w:val="28"/>
        </w:rPr>
        <w:t>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1) в </w:t>
      </w:r>
      <w:r>
        <w:rPr>
          <w:sz w:val="28"/>
          <w:szCs w:val="28"/>
        </w:rPr>
        <w:t>пункте 21.1.2 исключить подпункт «в»;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 xml:space="preserve">2) в </w:t>
      </w:r>
      <w:r>
        <w:rPr>
          <w:sz w:val="28"/>
          <w:szCs w:val="28"/>
        </w:rPr>
        <w:t>пункте 21.1.3: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исключить подпункты «а», «б», «г»;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дополнить подпунктом «е» </w:t>
      </w:r>
      <w:r>
        <w:rPr>
          <w:sz w:val="28"/>
          <w:szCs w:val="28"/>
          <w:lang w:eastAsia="en-US"/>
        </w:rPr>
        <w:t>следующего содержания: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«е) </w:t>
      </w:r>
      <w:r>
        <w:rPr>
          <w:sz w:val="28"/>
          <w:szCs w:val="28"/>
        </w:rPr>
        <w:t>земельные участки общего пользования, закрепленные за муниципальными учреждениями</w:t>
      </w:r>
      <w:r>
        <w:rPr>
          <w:sz w:val="28"/>
          <w:szCs w:val="28"/>
          <w:lang w:eastAsia="en-US"/>
        </w:rPr>
        <w:t>».</w:t>
      </w:r>
      <w:r>
        <w:rPr>
          <w:sz w:val="28"/>
          <w:szCs w:val="28"/>
        </w:rPr>
        <w:t>;</w:t>
      </w:r>
    </w:p>
    <w:p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подпункт «а» пункта 21.1.3.1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«а) автомобильные дороги, внутриквартальные проезды, заезды с магистральных улиц и дорог в жилой массив с многоквартирными домами, предназначенные для движения автотранспорта;»;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4) </w:t>
      </w:r>
      <w:r>
        <w:rPr>
          <w:sz w:val="28"/>
          <w:szCs w:val="28"/>
        </w:rPr>
        <w:t xml:space="preserve">дополнить пунктом 21.1.3.2 </w:t>
      </w:r>
      <w:r>
        <w:rPr>
          <w:rFonts w:eastAsia="Calibri"/>
          <w:sz w:val="28"/>
          <w:szCs w:val="28"/>
          <w:lang w:eastAsia="en-US"/>
        </w:rPr>
        <w:t>следующего содержания: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«21.1.3.2. Организацию работ по уборке и содержанию указанных в пункте 21.1.3.1 настоящих Правил благоустройства объектов благоустройства осуществляют управы районов администрации города Чебоксары.»;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5) дополнить пунктом 21.2.1 </w:t>
      </w:r>
      <w:r>
        <w:rPr>
          <w:rFonts w:eastAsia="Calibri"/>
          <w:sz w:val="28"/>
          <w:szCs w:val="28"/>
          <w:lang w:eastAsia="en-US"/>
        </w:rPr>
        <w:t>следующего содержания: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«21.2.1. Схемы границ прилегающих территорий в первоочередном порядке составляются в отношении жилых зданий и смежных с ними иных </w:t>
      </w:r>
      <w:r>
        <w:rPr>
          <w:sz w:val="28"/>
          <w:szCs w:val="28"/>
        </w:rPr>
        <w:lastRenderedPageBreak/>
        <w:t>объектов благоустройства, указанных в строках 3 - 6 таблицы № 4 настоящих Правил благоустройства.»;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абзац первый пункта 21.3 изложить в следующей редакции: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«21.3. Составление схем границ прилегающих территорий организовывается администрацией города Чебоксары и осуществляется одновременно по всем районам города Чебоксары. При необходимости к составлению схем границ прилегающих территорий привлекаются специализированные организации.».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3. Части 1, 2.1, 2.3, 2.4 настоящего решения вступают в силу </w:t>
      </w:r>
      <w:r>
        <w:rPr>
          <w:rFonts w:eastAsiaTheme="minorHAnsi"/>
          <w:sz w:val="28"/>
          <w:szCs w:val="28"/>
          <w:lang w:eastAsia="en-US"/>
        </w:rPr>
        <w:t xml:space="preserve">со дня его официального опубликования, </w:t>
      </w:r>
      <w:r>
        <w:rPr>
          <w:sz w:val="28"/>
          <w:szCs w:val="28"/>
        </w:rPr>
        <w:t xml:space="preserve">часть 2.2 вступает в силу с </w:t>
      </w:r>
      <w:r>
        <w:rPr>
          <w:rFonts w:eastAsiaTheme="minorHAnsi"/>
          <w:sz w:val="28"/>
          <w:szCs w:val="28"/>
          <w:lang w:eastAsia="en-US"/>
        </w:rPr>
        <w:t>1 сентября 2025 года.</w:t>
      </w:r>
    </w:p>
    <w:p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Опубликовать настоящее решение в Вестнике органов местного самоуправления города Чебоксары и на официальном сайте города Чебоксары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Контроль за исполнением настоящего решения возложить на постоянную комиссию Чебоксарского городского Собрания депутатов по городскому хозяйству.</w:t>
      </w: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073" w:type="dxa"/>
        <w:jc w:val="center"/>
        <w:tblLook w:val="04A0" w:firstRow="1" w:lastRow="0" w:firstColumn="1" w:lastColumn="0" w:noHBand="0" w:noVBand="1"/>
      </w:tblPr>
      <w:tblGrid>
        <w:gridCol w:w="5105"/>
        <w:gridCol w:w="3968"/>
      </w:tblGrid>
      <w:tr>
        <w:trPr>
          <w:jc w:val="center"/>
        </w:trPr>
        <w:tc>
          <w:tcPr>
            <w:tcW w:w="5105" w:type="dxa"/>
            <w:shd w:val="clear" w:color="auto" w:fill="auto"/>
          </w:tcPr>
          <w:p>
            <w:pPr>
              <w:pStyle w:val="a6"/>
              <w:tabs>
                <w:tab w:val="left" w:pos="993"/>
                <w:tab w:val="left" w:pos="7371"/>
              </w:tabs>
              <w:spacing w:after="0"/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Чебоксарского</w:t>
            </w:r>
          </w:p>
          <w:p>
            <w:pPr>
              <w:pStyle w:val="a6"/>
              <w:tabs>
                <w:tab w:val="left" w:pos="993"/>
                <w:tab w:val="left" w:pos="7371"/>
              </w:tabs>
              <w:spacing w:after="160"/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Собрания депутатов</w:t>
            </w:r>
          </w:p>
          <w:p>
            <w:pPr>
              <w:pStyle w:val="a6"/>
              <w:tabs>
                <w:tab w:val="left" w:pos="993"/>
                <w:tab w:val="left" w:pos="7371"/>
              </w:tabs>
              <w:spacing w:after="0"/>
              <w:ind w:left="-113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Е.Н. Кадышев</w:t>
            </w:r>
          </w:p>
        </w:tc>
        <w:tc>
          <w:tcPr>
            <w:tcW w:w="3968" w:type="dxa"/>
            <w:shd w:val="clear" w:color="auto" w:fill="auto"/>
          </w:tcPr>
          <w:p>
            <w:pPr>
              <w:pStyle w:val="a6"/>
              <w:tabs>
                <w:tab w:val="left" w:pos="993"/>
                <w:tab w:val="left" w:pos="7371"/>
              </w:tabs>
              <w:spacing w:after="0"/>
              <w:ind w:left="57" w:right="-11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города Чебоксары</w:t>
            </w:r>
          </w:p>
          <w:p>
            <w:pPr>
              <w:pStyle w:val="a6"/>
              <w:tabs>
                <w:tab w:val="left" w:pos="993"/>
                <w:tab w:val="left" w:pos="7371"/>
              </w:tabs>
              <w:spacing w:after="0" w:line="264" w:lineRule="auto"/>
              <w:ind w:left="-113" w:right="-113"/>
              <w:rPr>
                <w:sz w:val="28"/>
                <w:szCs w:val="28"/>
              </w:rPr>
            </w:pPr>
          </w:p>
          <w:p>
            <w:pPr>
              <w:pStyle w:val="a6"/>
              <w:tabs>
                <w:tab w:val="left" w:pos="993"/>
                <w:tab w:val="left" w:pos="7371"/>
              </w:tabs>
              <w:spacing w:before="120" w:after="0"/>
              <w:ind w:left="57" w:righ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В.А. Доброхотов</w:t>
            </w:r>
          </w:p>
        </w:tc>
      </w:tr>
      <w:bookmarkEnd w:id="1"/>
    </w:tbl>
    <w:p>
      <w:pPr>
        <w:pStyle w:val="33"/>
        <w:spacing w:line="240" w:lineRule="auto"/>
        <w:ind w:right="-2" w:firstLine="0"/>
        <w:jc w:val="center"/>
        <w:rPr>
          <w:b/>
          <w:bCs/>
        </w:rPr>
      </w:pPr>
    </w:p>
    <w:sectPr>
      <w:headerReference w:type="default" r:id="rId12"/>
      <w:headerReference w:type="first" r:id="rId13"/>
      <w:pgSz w:w="11906" w:h="16838" w:code="9"/>
      <w:pgMar w:top="1134" w:right="851" w:bottom="1134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1396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>
        <w:pPr>
          <w:pStyle w:val="a9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>
          <w:rPr>
            <w:sz w:val="22"/>
            <w:szCs w:val="22"/>
          </w:rPr>
          <w:fldChar w:fldCharType="end"/>
        </w:r>
      </w:p>
    </w:sdtContent>
  </w:sdt>
  <w:p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3AD7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3C96451"/>
    <w:multiLevelType w:val="hybridMultilevel"/>
    <w:tmpl w:val="A4BC290C"/>
    <w:lvl w:ilvl="0" w:tplc="6A3C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2AD7"/>
    <w:multiLevelType w:val="hybridMultilevel"/>
    <w:tmpl w:val="3CA4ADDE"/>
    <w:lvl w:ilvl="0" w:tplc="C3A4E63C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387C42"/>
    <w:multiLevelType w:val="multilevel"/>
    <w:tmpl w:val="8E165E4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14D14CD1"/>
    <w:multiLevelType w:val="multilevel"/>
    <w:tmpl w:val="A96622C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09E7F81"/>
    <w:multiLevelType w:val="hybridMultilevel"/>
    <w:tmpl w:val="9BC67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B4402"/>
    <w:multiLevelType w:val="multilevel"/>
    <w:tmpl w:val="FDF2CDE8"/>
    <w:lvl w:ilvl="0">
      <w:start w:val="12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4F732F40"/>
    <w:multiLevelType w:val="hybridMultilevel"/>
    <w:tmpl w:val="BA5E2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E2AFA"/>
    <w:multiLevelType w:val="hybridMultilevel"/>
    <w:tmpl w:val="EC2AB27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567C20C9"/>
    <w:multiLevelType w:val="multilevel"/>
    <w:tmpl w:val="D70C8DB2"/>
    <w:lvl w:ilvl="0">
      <w:start w:val="1"/>
      <w:numFmt w:val="decimal"/>
      <w:lvlText w:val="%1."/>
      <w:lvlJc w:val="left"/>
      <w:pPr>
        <w:ind w:left="971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17" w:hanging="2160"/>
      </w:pPr>
      <w:rPr>
        <w:rFonts w:hint="default"/>
      </w:rPr>
    </w:lvl>
  </w:abstractNum>
  <w:abstractNum w:abstractNumId="10" w15:restartNumberingAfterBreak="0">
    <w:nsid w:val="69F36867"/>
    <w:multiLevelType w:val="hybridMultilevel"/>
    <w:tmpl w:val="75CC8274"/>
    <w:lvl w:ilvl="0" w:tplc="E1CCE728">
      <w:start w:val="1"/>
      <w:numFmt w:val="decimal"/>
      <w:lvlText w:val="%1)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A17419C"/>
    <w:multiLevelType w:val="multilevel"/>
    <w:tmpl w:val="8682A610"/>
    <w:lvl w:ilvl="0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3600" w:hanging="720"/>
      </w:pPr>
      <w:rPr>
        <w:rFonts w:ascii="Times New Roman CYR" w:eastAsia="Times New Roman" w:hAnsi="Times New Roman CYR" w:cs="Times New Roman CYR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2" w15:restartNumberingAfterBreak="0">
    <w:nsid w:val="74D848C1"/>
    <w:multiLevelType w:val="hybridMultilevel"/>
    <w:tmpl w:val="30BC13E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75DA095B"/>
    <w:multiLevelType w:val="multilevel"/>
    <w:tmpl w:val="4E76948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4" w15:restartNumberingAfterBreak="0">
    <w:nsid w:val="77803FE4"/>
    <w:multiLevelType w:val="multilevel"/>
    <w:tmpl w:val="788C01FE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0"/>
  </w:num>
  <w:num w:numId="9">
    <w:abstractNumId w:val="9"/>
  </w:num>
  <w:num w:numId="10">
    <w:abstractNumId w:val="11"/>
  </w:num>
  <w:num w:numId="11">
    <w:abstractNumId w:val="13"/>
  </w:num>
  <w:num w:numId="12">
    <w:abstractNumId w:val="6"/>
  </w:num>
  <w:num w:numId="13">
    <w:abstractNumId w:val="1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98354-A775-4CCD-9D80-606C115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pPr>
      <w:ind w:right="4570"/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pPr>
      <w:spacing w:line="360" w:lineRule="auto"/>
      <w:ind w:firstLine="900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Цветовое выделение"/>
    <w:rPr>
      <w:b/>
      <w:bCs/>
      <w:color w:val="26282F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styleId="a6">
    <w:name w:val="Body Text Indent"/>
    <w:aliases w:val="Основной текст 1,Нумерованный список !!,Надин стиль,Body Text Indent,Основной текст с отступом Знак Знак"/>
    <w:basedOn w:val="a"/>
    <w:link w:val="a7"/>
    <w:unhideWhenUsed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,Основной текст с отступом Знак Знак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b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w">
    <w:name w:val="w"/>
    <w:basedOn w:val="a0"/>
  </w:style>
  <w:style w:type="paragraph" w:styleId="ac">
    <w:name w:val="Balloon Text"/>
    <w:basedOn w:val="a"/>
    <w:link w:val="ad"/>
    <w:semiHidden/>
    <w:unhideWhenUsed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basedOn w:val="a3"/>
    <w:rPr>
      <w:rFonts w:cs="Times New Roman"/>
      <w:b/>
      <w:bCs/>
      <w:color w:val="106BBE"/>
    </w:r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f0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1">
    <w:name w:val="s_1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customStyle="1" w:styleId="af2">
    <w:name w:val="Цветовое выделение для Текст"/>
    <w:rPr>
      <w:sz w:val="24"/>
    </w:rPr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10">
    <w:name w:val="s_10"/>
    <w:basedOn w:val="a0"/>
  </w:style>
  <w:style w:type="paragraph" w:styleId="afa">
    <w:name w:val="TOC Heading"/>
    <w:basedOn w:val="1"/>
    <w:next w:val="a"/>
    <w:uiPriority w:val="39"/>
    <w:semiHidden/>
    <w:unhideWhenUsed/>
    <w:qFormat/>
    <w:pPr>
      <w:spacing w:line="276" w:lineRule="auto"/>
      <w:outlineLvl w:val="9"/>
    </w:pPr>
  </w:style>
  <w:style w:type="paragraph" w:styleId="35">
    <w:name w:val="toc 3"/>
    <w:basedOn w:val="a"/>
    <w:next w:val="a"/>
    <w:autoRedefine/>
    <w:uiPriority w:val="39"/>
    <w:unhideWhenUsed/>
    <w:pPr>
      <w:tabs>
        <w:tab w:val="right" w:leader="dot" w:pos="9344"/>
      </w:tabs>
      <w:ind w:firstLine="142"/>
    </w:pPr>
  </w:style>
  <w:style w:type="paragraph" w:styleId="21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customStyle="1" w:styleId="Standard">
    <w:name w:val="Standar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pt-a-000082">
    <w:name w:val="pt-a-000082"/>
    <w:basedOn w:val="a"/>
    <w:pPr>
      <w:spacing w:before="100" w:beforeAutospacing="1" w:after="100" w:afterAutospacing="1"/>
    </w:pPr>
  </w:style>
  <w:style w:type="character" w:customStyle="1" w:styleId="pt-a0-000033">
    <w:name w:val="pt-a0-000033"/>
    <w:basedOn w:val="a0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TML">
    <w:name w:val="HTML Code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11">
    <w:name w:val="s1"/>
    <w:basedOn w:val="a"/>
    <w:pPr>
      <w:spacing w:before="100" w:beforeAutospacing="1" w:after="100" w:afterAutospacing="1"/>
    </w:pPr>
    <w:rPr>
      <w:rFonts w:eastAsiaTheme="minorHAnsi"/>
    </w:rPr>
  </w:style>
  <w:style w:type="character" w:customStyle="1" w:styleId="ConsPlusNormal0">
    <w:name w:val="ConsPlusNormal Знак"/>
    <w:link w:val="ConsPlusNormal"/>
    <w:locked/>
    <w:rPr>
      <w:rFonts w:ascii="Calibri" w:eastAsia="Calibri" w:hAnsi="Calibri" w:cs="Calibri"/>
      <w:szCs w:val="20"/>
      <w:lang w:eastAsia="ru-RU"/>
    </w:rPr>
  </w:style>
  <w:style w:type="paragraph" w:customStyle="1" w:styleId="empty">
    <w:name w:val="empty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12080&amp;dst=1000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63323&amp;dst=100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77249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C9550-49C9-42DE-9C06-A5BA863B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gcheb_chgsd4</cp:lastModifiedBy>
  <cp:revision>139</cp:revision>
  <cp:lastPrinted>2025-04-11T11:22:00Z</cp:lastPrinted>
  <dcterms:created xsi:type="dcterms:W3CDTF">2023-07-17T11:49:00Z</dcterms:created>
  <dcterms:modified xsi:type="dcterms:W3CDTF">2025-04-11T11:22:00Z</dcterms:modified>
</cp:coreProperties>
</file>