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91F" w:rsidRPr="005C29A6" w:rsidRDefault="00DA191F" w:rsidP="00DA191F">
      <w:pPr>
        <w:jc w:val="right"/>
        <w:rPr>
          <w:rStyle w:val="a6"/>
          <w:b w:val="0"/>
          <w:sz w:val="24"/>
          <w:szCs w:val="24"/>
        </w:rPr>
      </w:pPr>
      <w:bookmarkStart w:id="0" w:name="sub_70000"/>
      <w:r w:rsidRPr="005C29A6">
        <w:rPr>
          <w:rStyle w:val="a6"/>
          <w:b w:val="0"/>
          <w:sz w:val="24"/>
          <w:szCs w:val="24"/>
        </w:rPr>
        <w:t>Приложение N 7</w:t>
      </w:r>
      <w:r w:rsidRPr="005C29A6">
        <w:rPr>
          <w:rStyle w:val="a6"/>
          <w:b w:val="0"/>
          <w:sz w:val="24"/>
          <w:szCs w:val="24"/>
        </w:rPr>
        <w:br/>
        <w:t xml:space="preserve">к </w:t>
      </w:r>
      <w:hyperlink r:id="rId5" w:anchor="sub_1000" w:history="1">
        <w:r w:rsidRPr="005C29A6">
          <w:rPr>
            <w:rStyle w:val="a3"/>
            <w:sz w:val="24"/>
            <w:szCs w:val="24"/>
          </w:rPr>
          <w:t>Порядку</w:t>
        </w:r>
      </w:hyperlink>
      <w:r w:rsidRPr="005C29A6">
        <w:rPr>
          <w:rStyle w:val="a6"/>
          <w:b w:val="0"/>
          <w:sz w:val="24"/>
          <w:szCs w:val="24"/>
        </w:rPr>
        <w:t xml:space="preserve"> разработки и реализации</w:t>
      </w:r>
      <w:r w:rsidRPr="005C29A6">
        <w:rPr>
          <w:rStyle w:val="a6"/>
          <w:b w:val="0"/>
          <w:sz w:val="24"/>
          <w:szCs w:val="24"/>
        </w:rPr>
        <w:br/>
        <w:t>муниципальных программ</w:t>
      </w:r>
      <w:r w:rsidRPr="005C29A6">
        <w:rPr>
          <w:rStyle w:val="a6"/>
          <w:b w:val="0"/>
          <w:sz w:val="24"/>
          <w:szCs w:val="24"/>
        </w:rPr>
        <w:br/>
      </w:r>
      <w:r w:rsidR="005B383F">
        <w:rPr>
          <w:sz w:val="24"/>
          <w:szCs w:val="24"/>
        </w:rPr>
        <w:t>Аликовского муниципального округа</w:t>
      </w:r>
    </w:p>
    <w:bookmarkEnd w:id="0"/>
    <w:p w:rsidR="00DA191F" w:rsidRPr="005C29A6" w:rsidRDefault="00DA191F" w:rsidP="00DA191F">
      <w:pPr>
        <w:pStyle w:val="1"/>
        <w:jc w:val="both"/>
        <w:rPr>
          <w:b/>
          <w:sz w:val="24"/>
          <w:szCs w:val="24"/>
        </w:rPr>
      </w:pPr>
    </w:p>
    <w:p w:rsidR="00DA191F" w:rsidRPr="005C29A6" w:rsidRDefault="00DA191F" w:rsidP="00DA191F">
      <w:pPr>
        <w:pStyle w:val="1"/>
        <w:jc w:val="center"/>
        <w:rPr>
          <w:b/>
          <w:sz w:val="24"/>
          <w:szCs w:val="24"/>
        </w:rPr>
      </w:pPr>
      <w:r w:rsidRPr="005C29A6">
        <w:rPr>
          <w:b/>
          <w:sz w:val="24"/>
          <w:szCs w:val="24"/>
        </w:rPr>
        <w:t>Сведения</w:t>
      </w:r>
      <w:r w:rsidRPr="005C29A6">
        <w:rPr>
          <w:b/>
          <w:sz w:val="24"/>
          <w:szCs w:val="24"/>
        </w:rPr>
        <w:br/>
        <w:t xml:space="preserve">о достижении значений целевых индикаторов и показателей муниципальной программы </w:t>
      </w:r>
      <w:r w:rsidR="005B383F">
        <w:rPr>
          <w:b/>
          <w:sz w:val="24"/>
          <w:szCs w:val="24"/>
        </w:rPr>
        <w:t>Аликовского муниципального округа</w:t>
      </w:r>
      <w:r w:rsidRPr="005C29A6">
        <w:rPr>
          <w:b/>
          <w:sz w:val="24"/>
          <w:szCs w:val="24"/>
        </w:rPr>
        <w:t xml:space="preserve">, подпрограмм муниципальной программы </w:t>
      </w:r>
      <w:r w:rsidR="005B383F">
        <w:rPr>
          <w:b/>
          <w:sz w:val="24"/>
          <w:szCs w:val="24"/>
        </w:rPr>
        <w:t>Аликовского муниципального округа</w:t>
      </w:r>
      <w:r w:rsidRPr="005C29A6">
        <w:rPr>
          <w:b/>
          <w:sz w:val="24"/>
          <w:szCs w:val="24"/>
        </w:rPr>
        <w:t xml:space="preserve"> (программ)</w:t>
      </w: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387"/>
        <w:gridCol w:w="1137"/>
        <w:gridCol w:w="1137"/>
        <w:gridCol w:w="973"/>
        <w:gridCol w:w="1297"/>
        <w:gridCol w:w="1000"/>
        <w:gridCol w:w="1845"/>
        <w:gridCol w:w="1568"/>
      </w:tblGrid>
      <w:tr w:rsidR="0027779A" w:rsidRPr="0027779A" w:rsidTr="0027779A"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1F" w:rsidRPr="0027779A" w:rsidRDefault="00DA191F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779A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 w:rsidRPr="0027779A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1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191F" w:rsidRPr="0027779A" w:rsidRDefault="00DA191F" w:rsidP="002777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779A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 и показателя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191F" w:rsidRPr="0027779A" w:rsidRDefault="00DA191F" w:rsidP="002777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779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1F" w:rsidRPr="0027779A" w:rsidRDefault="00DA191F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779A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целевых индикаторов и показателей муниципальной программы </w:t>
            </w:r>
            <w:r w:rsidR="005B383F">
              <w:rPr>
                <w:rFonts w:ascii="Times New Roman" w:hAnsi="Times New Roman" w:cs="Times New Roman"/>
                <w:sz w:val="20"/>
                <w:szCs w:val="20"/>
              </w:rPr>
              <w:t>Аликовского муниципального округа</w:t>
            </w:r>
            <w:r w:rsidRPr="0027779A">
              <w:rPr>
                <w:rFonts w:ascii="Times New Roman" w:hAnsi="Times New Roman" w:cs="Times New Roman"/>
                <w:sz w:val="20"/>
                <w:szCs w:val="20"/>
              </w:rPr>
              <w:t xml:space="preserve">, подпрограммы муниципальной программы </w:t>
            </w:r>
            <w:r w:rsidR="005B383F">
              <w:rPr>
                <w:rFonts w:ascii="Times New Roman" w:hAnsi="Times New Roman" w:cs="Times New Roman"/>
                <w:sz w:val="20"/>
                <w:szCs w:val="20"/>
              </w:rPr>
              <w:t>Аликовского муниципального округа</w:t>
            </w:r>
            <w:r w:rsidRPr="0027779A">
              <w:rPr>
                <w:rFonts w:ascii="Times New Roman" w:hAnsi="Times New Roman" w:cs="Times New Roman"/>
                <w:sz w:val="20"/>
                <w:szCs w:val="20"/>
              </w:rPr>
              <w:t xml:space="preserve"> (программы)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191F" w:rsidRPr="0027779A" w:rsidRDefault="00DA191F" w:rsidP="002777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779A">
              <w:rPr>
                <w:rFonts w:ascii="Times New Roman" w:hAnsi="Times New Roman" w:cs="Times New Roman"/>
                <w:sz w:val="20"/>
                <w:szCs w:val="20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191F" w:rsidRPr="0027779A" w:rsidRDefault="00DA191F" w:rsidP="002777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779A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целевых индикаторов и показателей муниципальной программы </w:t>
            </w:r>
            <w:r w:rsidR="005B383F">
              <w:rPr>
                <w:rFonts w:ascii="Times New Roman" w:hAnsi="Times New Roman" w:cs="Times New Roman"/>
                <w:sz w:val="20"/>
                <w:szCs w:val="20"/>
              </w:rPr>
              <w:t>Аликовского муниципального округа</w:t>
            </w:r>
            <w:r w:rsidRPr="0027779A">
              <w:rPr>
                <w:rFonts w:ascii="Times New Roman" w:hAnsi="Times New Roman" w:cs="Times New Roman"/>
                <w:sz w:val="20"/>
                <w:szCs w:val="20"/>
              </w:rPr>
              <w:t xml:space="preserve">, подпрограмма муниципальной программы </w:t>
            </w:r>
            <w:r w:rsidR="005B383F">
              <w:rPr>
                <w:rFonts w:ascii="Times New Roman" w:hAnsi="Times New Roman" w:cs="Times New Roman"/>
                <w:sz w:val="20"/>
                <w:szCs w:val="20"/>
              </w:rPr>
              <w:t>Аликовского муниципального округа</w:t>
            </w:r>
            <w:r w:rsidRPr="0027779A">
              <w:rPr>
                <w:rFonts w:ascii="Times New Roman" w:hAnsi="Times New Roman" w:cs="Times New Roman"/>
                <w:sz w:val="20"/>
                <w:szCs w:val="20"/>
              </w:rPr>
              <w:t xml:space="preserve"> (программы) текущий год (план)</w:t>
            </w:r>
          </w:p>
        </w:tc>
      </w:tr>
      <w:tr w:rsidR="0027779A" w:rsidRPr="0027779A" w:rsidTr="0027779A"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91F" w:rsidRPr="0027779A" w:rsidRDefault="00DA191F" w:rsidP="00543CB0">
            <w:pPr>
              <w:jc w:val="both"/>
            </w:pPr>
          </w:p>
        </w:tc>
        <w:tc>
          <w:tcPr>
            <w:tcW w:w="18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191F" w:rsidRPr="0027779A" w:rsidRDefault="00DA191F" w:rsidP="00543CB0">
            <w:pPr>
              <w:jc w:val="both"/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191F" w:rsidRPr="0027779A" w:rsidRDefault="00DA191F" w:rsidP="00543CB0">
            <w:pPr>
              <w:jc w:val="both"/>
            </w:pP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191F" w:rsidRPr="0027779A" w:rsidRDefault="00DA191F" w:rsidP="002777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779A">
              <w:rPr>
                <w:rFonts w:ascii="Times New Roman" w:hAnsi="Times New Roman" w:cs="Times New Roman"/>
                <w:sz w:val="20"/>
                <w:szCs w:val="20"/>
              </w:rPr>
              <w:t xml:space="preserve">год, предшествующий </w:t>
            </w:r>
            <w:proofErr w:type="gramStart"/>
            <w:r w:rsidRPr="0027779A">
              <w:rPr>
                <w:rFonts w:ascii="Times New Roman" w:hAnsi="Times New Roman" w:cs="Times New Roman"/>
                <w:sz w:val="20"/>
                <w:szCs w:val="20"/>
              </w:rPr>
              <w:t>отчетному</w:t>
            </w:r>
            <w:proofErr w:type="gramEnd"/>
            <w:r w:rsidRPr="0027779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7779A">
              <w:rPr>
                <w:rFonts w:ascii="Times New Roman" w:hAnsi="Times New Roman" w:cs="Times New Roman"/>
                <w:sz w:val="20"/>
                <w:szCs w:val="20"/>
              </w:rPr>
              <w:instrText>HYPERLINK "C:\\Users\\Local Settings\\Temp\\Temporary Internet Files\\Content.IE5\\3L2JI2MT\\Порядок разработки муниципальных программ.doc" \l "sub_8888"</w:instrText>
            </w:r>
            <w:r w:rsidRPr="0027779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7779A">
              <w:rPr>
                <w:rStyle w:val="a3"/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Pr="0027779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1F" w:rsidRPr="0027779A" w:rsidRDefault="00DA191F" w:rsidP="002777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79A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191F" w:rsidRPr="0027779A" w:rsidRDefault="00DA191F" w:rsidP="00543CB0">
            <w:pPr>
              <w:jc w:val="both"/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191F" w:rsidRPr="0027779A" w:rsidRDefault="00DA191F" w:rsidP="00543CB0">
            <w:pPr>
              <w:jc w:val="both"/>
            </w:pPr>
          </w:p>
        </w:tc>
      </w:tr>
      <w:tr w:rsidR="0027779A" w:rsidRPr="0027779A" w:rsidTr="0027779A"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91F" w:rsidRPr="0027779A" w:rsidRDefault="00DA191F" w:rsidP="00543CB0">
            <w:pPr>
              <w:jc w:val="both"/>
            </w:pPr>
          </w:p>
        </w:tc>
        <w:tc>
          <w:tcPr>
            <w:tcW w:w="18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191F" w:rsidRPr="0027779A" w:rsidRDefault="00DA191F" w:rsidP="00543CB0">
            <w:pPr>
              <w:jc w:val="both"/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191F" w:rsidRPr="0027779A" w:rsidRDefault="00DA191F" w:rsidP="00543CB0">
            <w:pPr>
              <w:jc w:val="both"/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191F" w:rsidRPr="0027779A" w:rsidRDefault="00DA191F" w:rsidP="00543CB0">
            <w:pPr>
              <w:jc w:val="both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1F" w:rsidRPr="0027779A" w:rsidRDefault="00DA191F" w:rsidP="002777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779A">
              <w:rPr>
                <w:rFonts w:ascii="Times New Roman" w:hAnsi="Times New Roman" w:cs="Times New Roman"/>
                <w:sz w:val="20"/>
                <w:szCs w:val="20"/>
              </w:rPr>
              <w:t>Первона</w:t>
            </w:r>
            <w:r w:rsidR="0027779A" w:rsidRPr="0027779A">
              <w:rPr>
                <w:rFonts w:ascii="Times New Roman" w:hAnsi="Times New Roman" w:cs="Times New Roman"/>
                <w:sz w:val="20"/>
                <w:szCs w:val="20"/>
              </w:rPr>
              <w:t>чаль</w:t>
            </w:r>
            <w:r w:rsidRPr="0027779A">
              <w:rPr>
                <w:rFonts w:ascii="Times New Roman" w:hAnsi="Times New Roman" w:cs="Times New Roman"/>
                <w:sz w:val="20"/>
                <w:szCs w:val="20"/>
              </w:rPr>
              <w:t>ный план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1F" w:rsidRPr="0027779A" w:rsidRDefault="00DA191F" w:rsidP="002777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779A">
              <w:rPr>
                <w:rFonts w:ascii="Times New Roman" w:hAnsi="Times New Roman" w:cs="Times New Roman"/>
                <w:sz w:val="20"/>
                <w:szCs w:val="20"/>
              </w:rPr>
              <w:t>Уточненный план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1F" w:rsidRPr="0027779A" w:rsidRDefault="00DA191F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779A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191F" w:rsidRPr="0027779A" w:rsidRDefault="00DA191F" w:rsidP="00543CB0">
            <w:pPr>
              <w:jc w:val="both"/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191F" w:rsidRPr="0027779A" w:rsidRDefault="00DA191F" w:rsidP="00543CB0">
            <w:pPr>
              <w:jc w:val="both"/>
            </w:pPr>
          </w:p>
        </w:tc>
      </w:tr>
      <w:tr w:rsidR="0027779A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A" w:rsidRPr="0027779A" w:rsidRDefault="0027779A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9A" w:rsidRPr="0027779A" w:rsidRDefault="0027779A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779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5B383F">
              <w:rPr>
                <w:rFonts w:ascii="Times New Roman" w:hAnsi="Times New Roman" w:cs="Times New Roman"/>
                <w:sz w:val="20"/>
                <w:szCs w:val="20"/>
              </w:rPr>
              <w:t>Аликовского муниципального округа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A" w:rsidRPr="0027779A" w:rsidRDefault="0027779A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A" w:rsidRPr="0027779A" w:rsidRDefault="0027779A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A" w:rsidRPr="0027779A" w:rsidRDefault="0027779A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A" w:rsidRPr="0027779A" w:rsidRDefault="0027779A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A" w:rsidRPr="0027779A" w:rsidRDefault="0027779A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A" w:rsidRPr="0027779A" w:rsidRDefault="0027779A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A" w:rsidRPr="0027779A" w:rsidRDefault="0027779A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79A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1F" w:rsidRPr="0027779A" w:rsidRDefault="00DA191F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779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1F" w:rsidRPr="0027779A" w:rsidRDefault="00DA191F" w:rsidP="00543CB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779A">
              <w:rPr>
                <w:rFonts w:ascii="Times New Roman" w:hAnsi="Times New Roman"/>
                <w:sz w:val="20"/>
                <w:szCs w:val="20"/>
              </w:rPr>
              <w:t>Целевой индикатор и показатель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F" w:rsidRPr="0027779A" w:rsidRDefault="00DA191F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F" w:rsidRPr="0027779A" w:rsidRDefault="00DA191F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F" w:rsidRPr="0027779A" w:rsidRDefault="00DA191F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F" w:rsidRPr="0027779A" w:rsidRDefault="00DA191F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F" w:rsidRPr="0027779A" w:rsidRDefault="00DA191F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F" w:rsidRPr="0027779A" w:rsidRDefault="00DA191F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F" w:rsidRPr="0027779A" w:rsidRDefault="00DA191F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007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07" w:rsidRPr="0027779A" w:rsidRDefault="00541007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779A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07" w:rsidRPr="00506160" w:rsidRDefault="00541007" w:rsidP="00543CB0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  <w:r w:rsidRPr="00506160">
              <w:rPr>
                <w:color w:val="000000"/>
              </w:rPr>
              <w:t xml:space="preserve">Удельный вес программных расходов бюджета </w:t>
            </w:r>
            <w:r w:rsidR="005B383F">
              <w:rPr>
                <w:color w:val="000000"/>
              </w:rPr>
              <w:t>Аликовского муниципального округа</w:t>
            </w:r>
            <w:r w:rsidRPr="00506160">
              <w:rPr>
                <w:color w:val="000000"/>
              </w:rPr>
              <w:t xml:space="preserve"> в общем объеме расходов бюджета </w:t>
            </w:r>
            <w:r w:rsidR="005B383F">
              <w:rPr>
                <w:color w:val="000000"/>
              </w:rPr>
              <w:t>Аликовского муниципального округа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543CB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процентов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27779A" w:rsidRDefault="00541007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</w:tr>
      <w:tr w:rsidR="00541007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27779A" w:rsidRDefault="00541007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543CB0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  <w:r w:rsidRPr="00506160">
              <w:t xml:space="preserve">Темп роста налоговых и неналоговых доходов консолидированного бюджета </w:t>
            </w:r>
            <w:r w:rsidR="005B383F">
              <w:rPr>
                <w:color w:val="000000"/>
              </w:rPr>
              <w:t>Аликовского муниципального округа</w:t>
            </w:r>
            <w:r>
              <w:t xml:space="preserve"> </w:t>
            </w:r>
            <w:r w:rsidRPr="00506160">
              <w:t>(к предыдущему году)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543CB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процентов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473664" w:rsidP="00B37797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  <w:r w:rsidRPr="00506160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473664" w:rsidP="00BF0273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  <w:r w:rsidR="00AE6D69">
              <w:rPr>
                <w:color w:val="000000"/>
              </w:rPr>
              <w:t>,</w:t>
            </w:r>
            <w:r w:rsidR="00BF0273">
              <w:rPr>
                <w:color w:val="000000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473664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</w:t>
            </w:r>
            <w:r w:rsidR="00473664">
              <w:rPr>
                <w:color w:val="000000"/>
              </w:rPr>
              <w:t>33</w:t>
            </w:r>
            <w:r w:rsidRPr="00506160">
              <w:rPr>
                <w:color w:val="000000"/>
              </w:rPr>
              <w:t>,</w:t>
            </w:r>
            <w:r w:rsidR="00473664">
              <w:rPr>
                <w:color w:val="000000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BF0273" w:rsidP="00473664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73664">
              <w:rPr>
                <w:color w:val="000000"/>
              </w:rPr>
              <w:t>36</w:t>
            </w:r>
            <w:r w:rsidR="00541007" w:rsidRPr="00506160">
              <w:rPr>
                <w:color w:val="000000"/>
              </w:rPr>
              <w:t>,</w:t>
            </w:r>
            <w:r w:rsidR="00473664">
              <w:rPr>
                <w:color w:val="000000"/>
              </w:rPr>
              <w:t>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27779A" w:rsidRDefault="00541007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BF0273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</w:t>
            </w:r>
            <w:r w:rsidR="00BF0273">
              <w:rPr>
                <w:color w:val="000000"/>
              </w:rPr>
              <w:t>4</w:t>
            </w:r>
            <w:r w:rsidRPr="00506160">
              <w:rPr>
                <w:color w:val="000000"/>
              </w:rPr>
              <w:t>,</w:t>
            </w:r>
            <w:r w:rsidR="00BF0273">
              <w:rPr>
                <w:color w:val="000000"/>
              </w:rPr>
              <w:t>3</w:t>
            </w:r>
          </w:p>
        </w:tc>
      </w:tr>
      <w:tr w:rsidR="00541007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27779A" w:rsidRDefault="00541007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543CB0">
            <w:pPr>
              <w:widowControl w:val="0"/>
              <w:autoSpaceDE w:val="0"/>
              <w:autoSpaceDN w:val="0"/>
              <w:jc w:val="both"/>
            </w:pPr>
            <w:r w:rsidRPr="00506160">
              <w:t xml:space="preserve">Отношение дефицита бюджета </w:t>
            </w:r>
            <w:r w:rsidR="005B383F">
              <w:rPr>
                <w:color w:val="000000"/>
              </w:rPr>
              <w:t>Аликовского муниципального округа</w:t>
            </w:r>
            <w:r>
              <w:rPr>
                <w:color w:val="000000"/>
              </w:rPr>
              <w:t xml:space="preserve"> </w:t>
            </w:r>
            <w:r w:rsidRPr="00506160">
              <w:t xml:space="preserve">к доходам бюджета </w:t>
            </w:r>
            <w:r w:rsidR="005B383F">
              <w:rPr>
                <w:color w:val="000000"/>
              </w:rPr>
              <w:t>Аликовского муниципального округа</w:t>
            </w:r>
            <w:r>
              <w:t xml:space="preserve"> </w:t>
            </w:r>
            <w:r w:rsidRPr="00506160">
              <w:t xml:space="preserve">(без учета безвозмездных </w:t>
            </w:r>
            <w:r w:rsidRPr="00506160">
              <w:lastRenderedPageBreak/>
              <w:t>поступлений)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543CB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lastRenderedPageBreak/>
              <w:t>процентов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986C7C" w:rsidRDefault="00473664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41007" w:rsidRPr="00986C7C">
              <w:rPr>
                <w:color w:val="000000"/>
              </w:rPr>
              <w:t>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986C7C" w:rsidRDefault="00541007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986C7C">
              <w:rPr>
                <w:color w:val="000000"/>
              </w:rPr>
              <w:t>5,0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986C7C" w:rsidRDefault="00541007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986C7C">
              <w:rPr>
                <w:color w:val="000000"/>
              </w:rPr>
              <w:t>5,0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986C7C" w:rsidRDefault="00D05E7A" w:rsidP="00B37797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41007" w:rsidRPr="00986C7C">
              <w:rPr>
                <w:color w:val="000000"/>
              </w:rPr>
              <w:t>,</w:t>
            </w:r>
            <w:r w:rsidR="00B37797">
              <w:rPr>
                <w:color w:val="000000"/>
              </w:rPr>
              <w:t>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27779A" w:rsidRDefault="00541007" w:rsidP="00AE6D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986C7C" w:rsidRDefault="00541007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986C7C">
              <w:rPr>
                <w:color w:val="000000"/>
              </w:rPr>
              <w:t>5,0</w:t>
            </w:r>
          </w:p>
        </w:tc>
      </w:tr>
      <w:tr w:rsidR="00541007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27779A" w:rsidRDefault="00541007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543CB0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  <w:r w:rsidRPr="00506160">
              <w:rPr>
                <w:color w:val="000000"/>
              </w:rPr>
              <w:t xml:space="preserve">Отношение </w:t>
            </w:r>
            <w:r>
              <w:rPr>
                <w:color w:val="000000"/>
              </w:rPr>
              <w:t>муниципаль</w:t>
            </w:r>
            <w:r w:rsidRPr="00506160">
              <w:rPr>
                <w:color w:val="000000"/>
              </w:rPr>
              <w:t xml:space="preserve">ного долга </w:t>
            </w:r>
            <w:r w:rsidR="005B383F">
              <w:rPr>
                <w:color w:val="000000"/>
              </w:rPr>
              <w:t>Аликовского муниципального округа</w:t>
            </w:r>
            <w:r>
              <w:rPr>
                <w:color w:val="000000"/>
              </w:rPr>
              <w:t xml:space="preserve"> </w:t>
            </w:r>
            <w:r w:rsidRPr="00506160">
              <w:rPr>
                <w:color w:val="000000"/>
              </w:rPr>
              <w:t xml:space="preserve">к доходам бюджета </w:t>
            </w:r>
            <w:r w:rsidR="005B383F">
              <w:rPr>
                <w:color w:val="000000"/>
              </w:rPr>
              <w:t>Аликовского муниципального округа</w:t>
            </w:r>
            <w:r>
              <w:rPr>
                <w:color w:val="000000"/>
              </w:rPr>
              <w:t xml:space="preserve"> </w:t>
            </w:r>
            <w:r w:rsidRPr="00506160">
              <w:rPr>
                <w:color w:val="000000"/>
              </w:rPr>
              <w:t>(без учета безвозмездных поступлений)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543CB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процентов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986C7C" w:rsidRDefault="00BF0273" w:rsidP="00473664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473664">
              <w:rPr>
                <w:color w:val="000000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986C7C" w:rsidRDefault="00541007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986C7C">
              <w:rPr>
                <w:color w:val="000000"/>
              </w:rPr>
              <w:t>50,0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986C7C" w:rsidRDefault="00541007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986C7C">
              <w:rPr>
                <w:color w:val="000000"/>
              </w:rPr>
              <w:t>50,0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986C7C" w:rsidRDefault="00B37797" w:rsidP="00BF0273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41007" w:rsidRPr="00986C7C">
              <w:rPr>
                <w:color w:val="000000"/>
              </w:rPr>
              <w:t>,</w:t>
            </w:r>
            <w:r w:rsidR="00BF0273">
              <w:rPr>
                <w:color w:val="000000"/>
              </w:rPr>
              <w:t>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27779A" w:rsidRDefault="00541007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986C7C" w:rsidRDefault="00541007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986C7C">
              <w:rPr>
                <w:color w:val="000000"/>
              </w:rPr>
              <w:t>0,0</w:t>
            </w:r>
          </w:p>
        </w:tc>
      </w:tr>
      <w:tr w:rsidR="00541007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27779A" w:rsidRDefault="00541007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543CB0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  <w:r w:rsidRPr="00506160">
              <w:rPr>
                <w:color w:val="000000"/>
              </w:rPr>
              <w:t xml:space="preserve">Отношение объема просроченной задолженности по долговым обязательствам </w:t>
            </w:r>
            <w:r w:rsidR="005B383F">
              <w:rPr>
                <w:color w:val="000000"/>
              </w:rPr>
              <w:t>Аликовского муниципального округа</w:t>
            </w:r>
            <w:r>
              <w:rPr>
                <w:color w:val="000000"/>
              </w:rPr>
              <w:t xml:space="preserve"> </w:t>
            </w:r>
            <w:r w:rsidRPr="00506160">
              <w:rPr>
                <w:color w:val="000000"/>
              </w:rPr>
              <w:t xml:space="preserve">к общему объему задолженности по долговым обязательствам </w:t>
            </w:r>
            <w:r w:rsidR="005B383F">
              <w:rPr>
                <w:color w:val="000000"/>
              </w:rPr>
              <w:t>Аликовского муниципального округа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543CB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процентов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27779A" w:rsidRDefault="00541007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7" w:rsidRPr="00506160" w:rsidRDefault="00541007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0,0</w:t>
            </w:r>
          </w:p>
        </w:tc>
      </w:tr>
      <w:tr w:rsidR="0027779A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A" w:rsidRPr="0027779A" w:rsidRDefault="0027779A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83" w:rsidRPr="001B6D83" w:rsidRDefault="001B6D83" w:rsidP="001B6D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B6D8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«Совершенствование бюджетной политики и эффективное использование бюджетного потенциала  </w:t>
            </w:r>
            <w:r w:rsidR="005B383F">
              <w:rPr>
                <w:rFonts w:ascii="Times New Roman" w:hAnsi="Times New Roman" w:cs="Times New Roman"/>
                <w:sz w:val="20"/>
                <w:szCs w:val="20"/>
              </w:rPr>
              <w:t>Аликовского муниципального округа</w:t>
            </w:r>
            <w:r w:rsidRPr="001B6D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779A" w:rsidRPr="0027779A" w:rsidRDefault="001B6D83" w:rsidP="001B6D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B6D83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A" w:rsidRPr="0027779A" w:rsidRDefault="0027779A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A" w:rsidRPr="0027779A" w:rsidRDefault="0027779A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A" w:rsidRPr="0027779A" w:rsidRDefault="0027779A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A" w:rsidRPr="0027779A" w:rsidRDefault="0027779A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A" w:rsidRPr="0027779A" w:rsidRDefault="0027779A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A" w:rsidRPr="0027779A" w:rsidRDefault="0027779A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A" w:rsidRPr="0027779A" w:rsidRDefault="0027779A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79A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F" w:rsidRPr="0027779A" w:rsidRDefault="00DA191F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1F" w:rsidRPr="0027779A" w:rsidRDefault="00DA191F" w:rsidP="00543CB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779A">
              <w:rPr>
                <w:rFonts w:ascii="Times New Roman" w:hAnsi="Times New Roman"/>
                <w:sz w:val="20"/>
                <w:szCs w:val="20"/>
              </w:rPr>
              <w:t>Целевой индикатор и показатель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F" w:rsidRPr="0027779A" w:rsidRDefault="00DA191F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F" w:rsidRPr="0027779A" w:rsidRDefault="00DA191F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F" w:rsidRPr="0027779A" w:rsidRDefault="00DA191F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F" w:rsidRPr="0027779A" w:rsidRDefault="00DA191F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F" w:rsidRPr="0027779A" w:rsidRDefault="00DA191F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F" w:rsidRPr="0027779A" w:rsidRDefault="00DA191F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F" w:rsidRPr="0027779A" w:rsidRDefault="00DA191F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D83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1.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  <w:r w:rsidRPr="00506160">
              <w:rPr>
                <w:color w:val="000000"/>
              </w:rPr>
              <w:t xml:space="preserve">Доля расходов </w:t>
            </w:r>
            <w:r>
              <w:rPr>
                <w:color w:val="000000"/>
              </w:rPr>
              <w:t>б</w:t>
            </w:r>
            <w:r w:rsidRPr="00506160">
              <w:rPr>
                <w:color w:val="000000"/>
              </w:rPr>
              <w:t xml:space="preserve">юджета </w:t>
            </w:r>
            <w:r w:rsidR="005B383F">
              <w:rPr>
                <w:color w:val="000000"/>
              </w:rPr>
              <w:t>Аликовского муниципального округа</w:t>
            </w:r>
            <w:r w:rsidRPr="00506160">
              <w:rPr>
                <w:color w:val="000000"/>
              </w:rPr>
              <w:t xml:space="preserve"> на осуществление бюджетных инвестиций в объекты капитального строительства, формируемых в рамках программ, в общем объеме бюджетных инвестиций в объекты капитального строительства республиканской адресной инвестиционной программы на соответствующий год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процентов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</w:tr>
      <w:tr w:rsidR="00D3423A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3A" w:rsidRPr="00506160" w:rsidRDefault="00D3423A" w:rsidP="00543CB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2.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3A" w:rsidRPr="00506160" w:rsidRDefault="00D3423A" w:rsidP="00543CB0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  <w:r w:rsidRPr="00506160">
              <w:rPr>
                <w:color w:val="000000"/>
              </w:rPr>
              <w:t xml:space="preserve">Темп роста налоговых и неналоговых доходов бюджета </w:t>
            </w:r>
            <w:r>
              <w:rPr>
                <w:color w:val="000000"/>
              </w:rPr>
              <w:t>Аликовского муниципального округа</w:t>
            </w:r>
            <w:r w:rsidRPr="00506160">
              <w:rPr>
                <w:color w:val="000000"/>
              </w:rPr>
              <w:t xml:space="preserve"> (к предыдущему году)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3A" w:rsidRPr="00506160" w:rsidRDefault="00D3423A" w:rsidP="00543CB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процентов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3A" w:rsidRPr="00506160" w:rsidRDefault="00D3423A" w:rsidP="004E74E2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  <w:r w:rsidRPr="00506160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3A" w:rsidRPr="00506160" w:rsidRDefault="00D3423A" w:rsidP="004E74E2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94,0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3A" w:rsidRPr="00506160" w:rsidRDefault="00D3423A" w:rsidP="004E74E2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</w:t>
            </w:r>
            <w:r>
              <w:rPr>
                <w:color w:val="000000"/>
              </w:rPr>
              <w:t>33</w:t>
            </w:r>
            <w:r w:rsidRPr="00506160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3A" w:rsidRPr="00506160" w:rsidRDefault="00D3423A" w:rsidP="004E74E2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  <w:r w:rsidRPr="00506160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3A" w:rsidRPr="0027779A" w:rsidRDefault="00D3423A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3A" w:rsidRPr="00506160" w:rsidRDefault="00D3423A" w:rsidP="00D3423A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</w:t>
            </w:r>
            <w:r>
              <w:rPr>
                <w:color w:val="000000"/>
              </w:rPr>
              <w:t>4</w:t>
            </w:r>
            <w:r w:rsidRPr="00506160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  <w:bookmarkStart w:id="1" w:name="_GoBack"/>
            <w:bookmarkEnd w:id="1"/>
          </w:p>
        </w:tc>
      </w:tr>
      <w:tr w:rsidR="001B6D83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5.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  <w:r w:rsidRPr="00506160">
              <w:rPr>
                <w:color w:val="000000"/>
              </w:rPr>
              <w:t xml:space="preserve">Доля просроченной задолженности по бюджетным кредитам, предоставленным из </w:t>
            </w:r>
            <w:r>
              <w:rPr>
                <w:color w:val="000000"/>
              </w:rPr>
              <w:t xml:space="preserve">республиканского </w:t>
            </w:r>
            <w:r w:rsidRPr="00506160">
              <w:rPr>
                <w:color w:val="000000"/>
              </w:rPr>
              <w:t>бюджета</w:t>
            </w:r>
            <w:r>
              <w:rPr>
                <w:color w:val="000000"/>
              </w:rPr>
              <w:t xml:space="preserve"> Чувашской Республики</w:t>
            </w:r>
            <w:r w:rsidRPr="00506160">
              <w:rPr>
                <w:color w:val="000000"/>
              </w:rPr>
              <w:t xml:space="preserve">, в общем объеме задолженности по бюджетным кредитам, предоставленным из </w:t>
            </w:r>
            <w:r>
              <w:rPr>
                <w:color w:val="000000"/>
              </w:rPr>
              <w:t xml:space="preserve">республиканского </w:t>
            </w:r>
            <w:r w:rsidRPr="00506160">
              <w:rPr>
                <w:color w:val="000000"/>
              </w:rPr>
              <w:t>бюджета</w:t>
            </w:r>
            <w:r>
              <w:rPr>
                <w:color w:val="000000"/>
              </w:rPr>
              <w:t xml:space="preserve"> Чувашской Республики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процентов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0,0</w:t>
            </w:r>
          </w:p>
        </w:tc>
      </w:tr>
      <w:tr w:rsidR="001B6D83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  <w:r w:rsidRPr="00AC5C6E">
              <w:rPr>
                <w:color w:val="000000"/>
              </w:rPr>
              <w:t>Объем про</w:t>
            </w:r>
            <w:r>
              <w:rPr>
                <w:color w:val="000000"/>
              </w:rPr>
              <w:t>сроченной кредиторской задолжен</w:t>
            </w:r>
            <w:r w:rsidRPr="00AC5C6E">
              <w:rPr>
                <w:color w:val="000000"/>
              </w:rPr>
              <w:t>ности муниципальных бюджетных и автономных учреждений в сфере образования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рублей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D83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Default="001B6D83" w:rsidP="00543CB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  <w:r w:rsidRPr="00AC5C6E">
              <w:rPr>
                <w:color w:val="000000"/>
              </w:rPr>
              <w:t>Объем про</w:t>
            </w:r>
            <w:r>
              <w:rPr>
                <w:color w:val="000000"/>
              </w:rPr>
              <w:t>сроченной кредиторской задолжен</w:t>
            </w:r>
            <w:r w:rsidRPr="00AC5C6E">
              <w:rPr>
                <w:color w:val="000000"/>
              </w:rPr>
              <w:t>ности му</w:t>
            </w:r>
            <w:r>
              <w:rPr>
                <w:color w:val="000000"/>
              </w:rPr>
              <w:t>ниципальных бюджетных и автоном</w:t>
            </w:r>
            <w:r w:rsidRPr="00AC5C6E">
              <w:rPr>
                <w:color w:val="000000"/>
              </w:rPr>
              <w:t>ных учреждений в сфере физической культуры и спорта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рублей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506160" w:rsidRDefault="001B6D83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D83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Default="001B6D83" w:rsidP="00543CB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08082E" w:rsidRDefault="001B6D83" w:rsidP="00543CB0">
            <w:r w:rsidRPr="0008082E">
              <w:t>Объем просроченной кредиторской задолженности по оплате труда работников органов местного самоуправления, замещающих муниципальные должности и должности муниципальной службы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Default="001B6D83" w:rsidP="00543CB0">
            <w:r w:rsidRPr="0008082E">
              <w:t>тыс.               рублей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Default="001B6D83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D83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4402DC" w:rsidP="00543CB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02DC">
              <w:rPr>
                <w:rFonts w:ascii="Times New Roman" w:hAnsi="Times New Roman"/>
                <w:sz w:val="20"/>
                <w:szCs w:val="20"/>
              </w:rPr>
              <w:t xml:space="preserve">Подпрограмма «Повышение эффективности бюджетных </w:t>
            </w:r>
            <w:r w:rsidRPr="004402D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расходов </w:t>
            </w:r>
            <w:r w:rsidR="005B383F">
              <w:rPr>
                <w:rFonts w:ascii="Times New Roman" w:hAnsi="Times New Roman"/>
                <w:sz w:val="20"/>
                <w:szCs w:val="20"/>
              </w:rPr>
              <w:t>Аликовского муниципального округа</w:t>
            </w:r>
            <w:r w:rsidRPr="004402DC">
              <w:rPr>
                <w:rFonts w:ascii="Times New Roman" w:hAnsi="Times New Roman"/>
                <w:sz w:val="20"/>
                <w:szCs w:val="20"/>
              </w:rPr>
              <w:t xml:space="preserve"> Чувашской Республики»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D83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4402DC" w:rsidP="00543CB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779A">
              <w:rPr>
                <w:rFonts w:ascii="Times New Roman" w:hAnsi="Times New Roman"/>
                <w:sz w:val="20"/>
                <w:szCs w:val="20"/>
              </w:rPr>
              <w:t>Целевой индикатор и показатель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3" w:rsidRPr="0027779A" w:rsidRDefault="001B6D83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2DC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506160" w:rsidRDefault="004402DC" w:rsidP="00543CB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1.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506160" w:rsidRDefault="004402DC" w:rsidP="00543CB0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  <w:r w:rsidRPr="00506160">
              <w:rPr>
                <w:color w:val="000000"/>
              </w:rPr>
              <w:t xml:space="preserve">Доля расходов на обслуживание </w:t>
            </w:r>
            <w:r>
              <w:rPr>
                <w:color w:val="000000"/>
              </w:rPr>
              <w:t>муниципаль</w:t>
            </w:r>
            <w:r w:rsidRPr="00506160">
              <w:rPr>
                <w:color w:val="000000"/>
              </w:rPr>
              <w:t xml:space="preserve">ного долга </w:t>
            </w:r>
            <w:r w:rsidR="005B383F">
              <w:rPr>
                <w:color w:val="000000"/>
              </w:rPr>
              <w:t>Аликовского муниципального округа</w:t>
            </w:r>
            <w:r w:rsidRPr="00506160">
              <w:rPr>
                <w:color w:val="000000"/>
              </w:rPr>
              <w:t xml:space="preserve"> в объеме расходов бюджета </w:t>
            </w:r>
            <w:r w:rsidR="005B383F">
              <w:rPr>
                <w:color w:val="000000"/>
              </w:rPr>
              <w:t>Аликовского муниципального округа</w:t>
            </w:r>
            <w:r w:rsidRPr="00506160">
              <w:rPr>
                <w:color w:val="000000"/>
              </w:rPr>
              <w:t>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506160" w:rsidRDefault="004402DC" w:rsidP="00543CB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процентов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D226D3" w:rsidRDefault="00473664" w:rsidP="00473664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402DC" w:rsidRPr="00D226D3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D226D3" w:rsidRDefault="004402DC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D226D3">
              <w:rPr>
                <w:color w:val="000000"/>
              </w:rPr>
              <w:t>1,4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D226D3" w:rsidRDefault="004402DC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D226D3">
              <w:rPr>
                <w:color w:val="000000"/>
              </w:rPr>
              <w:t>1,4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27779A" w:rsidRDefault="004402DC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27779A" w:rsidRDefault="004402DC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27779A" w:rsidRDefault="00CC79BB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4402DC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506160" w:rsidRDefault="004402DC" w:rsidP="00543CB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2.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506160" w:rsidRDefault="004402DC" w:rsidP="00543CB0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  <w:r w:rsidRPr="00506160">
              <w:rPr>
                <w:color w:val="000000"/>
              </w:rPr>
              <w:t xml:space="preserve">Отношение объема просроченной кредиторской задолженности бюджета </w:t>
            </w:r>
            <w:r w:rsidR="005B383F">
              <w:rPr>
                <w:color w:val="000000"/>
              </w:rPr>
              <w:t>Аликовского муниципального округа</w:t>
            </w:r>
            <w:r w:rsidRPr="00506160">
              <w:rPr>
                <w:color w:val="000000"/>
              </w:rPr>
              <w:t xml:space="preserve"> к объему расходов бюджета </w:t>
            </w:r>
            <w:r w:rsidR="005B383F">
              <w:rPr>
                <w:color w:val="000000"/>
              </w:rPr>
              <w:t>Аликовского муниципального округа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506160" w:rsidRDefault="004402DC" w:rsidP="00543CB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процентов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506160" w:rsidRDefault="004402DC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506160" w:rsidRDefault="004402DC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506160" w:rsidRDefault="004402DC" w:rsidP="00543CB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27779A" w:rsidRDefault="004402DC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27779A" w:rsidRDefault="004402DC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27779A" w:rsidRDefault="00CC79BB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402DC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506160" w:rsidRDefault="004402DC" w:rsidP="00543CB0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3.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506160" w:rsidRDefault="004402DC" w:rsidP="00543CB0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color w:val="000000"/>
              </w:rPr>
            </w:pPr>
            <w:r w:rsidRPr="00506160">
              <w:rPr>
                <w:color w:val="000000"/>
              </w:rPr>
              <w:t xml:space="preserve">Отношение доли расходов на содержание органов </w:t>
            </w:r>
            <w:r>
              <w:rPr>
                <w:color w:val="000000"/>
              </w:rPr>
              <w:t xml:space="preserve">местного самоуправления </w:t>
            </w:r>
            <w:r w:rsidR="005B383F">
              <w:rPr>
                <w:color w:val="000000"/>
              </w:rPr>
              <w:t>Аликовского муниципального округа</w:t>
            </w:r>
            <w:r w:rsidRPr="00506160">
              <w:rPr>
                <w:color w:val="000000"/>
              </w:rPr>
              <w:t xml:space="preserve"> к установленному нормативу формирования данных расходов в отчетном финансовом году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506160" w:rsidRDefault="004402DC" w:rsidP="00543CB0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коэффициент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506160" w:rsidRDefault="005B383F" w:rsidP="00473664">
            <w:pPr>
              <w:widowControl w:val="0"/>
              <w:autoSpaceDE w:val="0"/>
              <w:autoSpaceDN w:val="0"/>
              <w:spacing w:line="230" w:lineRule="auto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402DC" w:rsidRPr="00506160">
              <w:rPr>
                <w:color w:val="000000"/>
              </w:rPr>
              <w:t>,</w:t>
            </w:r>
            <w:r w:rsidR="00473664">
              <w:rPr>
                <w:color w:val="000000"/>
              </w:rPr>
              <w:t>80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506160" w:rsidRDefault="004402DC" w:rsidP="00543CB0">
            <w:pPr>
              <w:widowControl w:val="0"/>
              <w:autoSpaceDE w:val="0"/>
              <w:autoSpaceDN w:val="0"/>
              <w:spacing w:line="230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506160" w:rsidRDefault="004402DC" w:rsidP="00543CB0">
            <w:pPr>
              <w:widowControl w:val="0"/>
              <w:autoSpaceDE w:val="0"/>
              <w:autoSpaceDN w:val="0"/>
              <w:spacing w:line="230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27779A" w:rsidRDefault="00E8600A" w:rsidP="005B38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5B383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27779A" w:rsidRDefault="00E8600A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Превышение норматива не допущено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27779A" w:rsidRDefault="00CC79BB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4402DC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506160" w:rsidRDefault="004402DC" w:rsidP="00543CB0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506160">
              <w:rPr>
                <w:color w:val="000000"/>
              </w:rPr>
              <w:t>.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506160" w:rsidRDefault="004402DC" w:rsidP="00543CB0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color w:val="000000"/>
              </w:rPr>
            </w:pPr>
            <w:r w:rsidRPr="00506160">
              <w:rPr>
                <w:color w:val="000000"/>
              </w:rPr>
              <w:t xml:space="preserve">Отношение количества проведенных контрольных мероприятий к количеству контрольных мероприятий, предусмотренных планом контрольных мероприятий по проверке соблюдения бюджетного законодательства Российской Федерации и законодательства Российской Федерации о контрактной системе в сфере закупок товаров, работ, услуг для обеспечения </w:t>
            </w:r>
            <w:r>
              <w:rPr>
                <w:color w:val="000000"/>
              </w:rPr>
              <w:t>муниципаль</w:t>
            </w:r>
            <w:r w:rsidRPr="00506160">
              <w:rPr>
                <w:color w:val="000000"/>
              </w:rPr>
              <w:t>ных и муниципальных нужд на соответствующий финансовый год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506160" w:rsidRDefault="004402DC" w:rsidP="00543CB0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процентов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506160" w:rsidRDefault="004402DC" w:rsidP="00543CB0">
            <w:pPr>
              <w:widowControl w:val="0"/>
              <w:autoSpaceDE w:val="0"/>
              <w:autoSpaceDN w:val="0"/>
              <w:spacing w:line="230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506160" w:rsidRDefault="004402DC" w:rsidP="00543CB0">
            <w:pPr>
              <w:widowControl w:val="0"/>
              <w:autoSpaceDE w:val="0"/>
              <w:autoSpaceDN w:val="0"/>
              <w:spacing w:line="230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506160" w:rsidRDefault="004402DC" w:rsidP="00543CB0">
            <w:pPr>
              <w:widowControl w:val="0"/>
              <w:autoSpaceDE w:val="0"/>
              <w:autoSpaceDN w:val="0"/>
              <w:spacing w:line="230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27779A" w:rsidRDefault="00E8600A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27779A" w:rsidRDefault="004402DC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C" w:rsidRPr="0027779A" w:rsidRDefault="00CC79BB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C79BB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506160">
              <w:rPr>
                <w:color w:val="000000"/>
              </w:rPr>
              <w:t>.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color w:val="000000"/>
              </w:rPr>
            </w:pPr>
            <w:r w:rsidRPr="00506160">
              <w:rPr>
                <w:color w:val="000000"/>
              </w:rPr>
              <w:t xml:space="preserve">Доля электронных процедур закупок в общем объеме закупок уполномоченного органа </w:t>
            </w:r>
            <w:r>
              <w:rPr>
                <w:color w:val="000000"/>
              </w:rPr>
              <w:t xml:space="preserve">местного самоуправления </w:t>
            </w:r>
            <w:r w:rsidR="005B383F">
              <w:rPr>
                <w:color w:val="000000"/>
              </w:rPr>
              <w:t>Аликовского муниципального округа</w:t>
            </w:r>
            <w:r>
              <w:rPr>
                <w:color w:val="000000"/>
              </w:rPr>
              <w:t xml:space="preserve"> </w:t>
            </w:r>
            <w:r w:rsidRPr="00506160">
              <w:rPr>
                <w:color w:val="000000"/>
              </w:rPr>
              <w:t xml:space="preserve">на определение поставщиков (подрядчиков, исполнителей) для заказчиков </w:t>
            </w:r>
            <w:r w:rsidR="005B383F">
              <w:rPr>
                <w:color w:val="000000"/>
              </w:rPr>
              <w:t>Аликовского муниципального округа</w:t>
            </w:r>
            <w:r w:rsidRPr="00506160">
              <w:rPr>
                <w:color w:val="000000"/>
              </w:rPr>
              <w:t xml:space="preserve">, осуществляющих закупки товаров, работ, услуг для обеспечения нужд </w:t>
            </w:r>
            <w:r w:rsidR="005B383F">
              <w:rPr>
                <w:color w:val="000000"/>
              </w:rPr>
              <w:t>Аликовского муниципального округа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процентов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27779A" w:rsidRDefault="00CC79BB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27779A" w:rsidRDefault="00CC79BB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Default="00CC79BB">
            <w:r w:rsidRPr="00887B14">
              <w:t>100</w:t>
            </w:r>
          </w:p>
        </w:tc>
      </w:tr>
      <w:tr w:rsidR="00CC79BB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506160">
              <w:rPr>
                <w:color w:val="000000"/>
              </w:rPr>
              <w:t>.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color w:val="000000"/>
              </w:rPr>
            </w:pPr>
            <w:r w:rsidRPr="00506160">
              <w:rPr>
                <w:color w:val="000000"/>
              </w:rPr>
              <w:t>Доля объектов капитального строительства, по которым осуществляется регулярный мониторинг освоения бюджетных инвестиций, в общем количестве объектов капитального строительства</w:t>
            </w:r>
            <w:r>
              <w:rPr>
                <w:color w:val="000000"/>
              </w:rPr>
              <w:t>, финансируемых за счет средств</w:t>
            </w:r>
            <w:r w:rsidRPr="00506160">
              <w:rPr>
                <w:color w:val="000000"/>
              </w:rPr>
              <w:t xml:space="preserve"> бюджета </w:t>
            </w:r>
            <w:r w:rsidR="005B383F">
              <w:rPr>
                <w:color w:val="000000"/>
              </w:rPr>
              <w:t>Аликовского муниципального округа</w:t>
            </w:r>
            <w:r w:rsidRPr="00506160">
              <w:rPr>
                <w:color w:val="000000"/>
              </w:rPr>
              <w:t xml:space="preserve"> в рамках адресной инвестиционной программы</w:t>
            </w:r>
            <w:r>
              <w:rPr>
                <w:color w:val="000000"/>
              </w:rPr>
              <w:t xml:space="preserve"> </w:t>
            </w:r>
            <w:r w:rsidR="005B383F">
              <w:rPr>
                <w:color w:val="000000"/>
              </w:rPr>
              <w:t>Аликовского муниципального округа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процентов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0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0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0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27779A" w:rsidRDefault="00CC79BB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27779A" w:rsidRDefault="00CC79BB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Default="00CC79BB">
            <w:r w:rsidRPr="00887B14">
              <w:t>100</w:t>
            </w:r>
          </w:p>
        </w:tc>
      </w:tr>
      <w:tr w:rsidR="00CC79BB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506160">
              <w:rPr>
                <w:color w:val="000000"/>
              </w:rPr>
              <w:t>.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color w:val="000000"/>
              </w:rPr>
            </w:pPr>
            <w:r w:rsidRPr="00506160">
              <w:t>Доля инвестиционных проектов, включенных в адресную инвестиционную программу</w:t>
            </w:r>
            <w:r>
              <w:t xml:space="preserve"> </w:t>
            </w:r>
            <w:r w:rsidR="005B383F">
              <w:rPr>
                <w:color w:val="000000"/>
              </w:rPr>
              <w:t xml:space="preserve">Аликовского муниципального </w:t>
            </w:r>
            <w:r w:rsidR="005B383F">
              <w:rPr>
                <w:color w:val="000000"/>
              </w:rPr>
              <w:lastRenderedPageBreak/>
              <w:t>округа</w:t>
            </w:r>
            <w:r w:rsidRPr="00506160">
              <w:t>, по которым обеспечено проведение комплексной оценки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0" w:lineRule="auto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процентов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0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0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0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27779A" w:rsidRDefault="00CC79BB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27779A" w:rsidRDefault="00CC79BB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Default="00CC79BB">
            <w:r w:rsidRPr="00887B14">
              <w:t>100</w:t>
            </w:r>
          </w:p>
        </w:tc>
      </w:tr>
      <w:tr w:rsidR="00CC79BB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  <w:r w:rsidRPr="00506160">
              <w:rPr>
                <w:color w:val="000000"/>
              </w:rPr>
              <w:t>.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color w:val="000000"/>
              </w:rPr>
            </w:pPr>
            <w:proofErr w:type="gramStart"/>
            <w:r w:rsidRPr="00506160">
              <w:rPr>
                <w:color w:val="000000"/>
              </w:rPr>
              <w:t xml:space="preserve">Доля результатов оценки качества финансового менеджмента главных распорядителей средств бюджета </w:t>
            </w:r>
            <w:r w:rsidR="005B383F">
              <w:rPr>
                <w:color w:val="000000"/>
              </w:rPr>
              <w:t>Аликовского муниципального округа</w:t>
            </w:r>
            <w:r>
              <w:rPr>
                <w:color w:val="000000"/>
              </w:rPr>
              <w:t>,</w:t>
            </w:r>
            <w:r w:rsidRPr="00506160">
              <w:rPr>
                <w:color w:val="000000"/>
              </w:rPr>
              <w:t xml:space="preserve"> размещенных на Портале управления </w:t>
            </w:r>
            <w:r>
              <w:rPr>
                <w:color w:val="000000"/>
              </w:rPr>
              <w:t>муниципаль</w:t>
            </w:r>
            <w:r w:rsidRPr="00506160">
              <w:rPr>
                <w:color w:val="000000"/>
              </w:rPr>
              <w:t>ными финансами Чувашской Республики в информационно-телекоммуникационной сети «Интернет», в общем количестве подведенных результатов указанной оценки в отчетном финансовом году</w:t>
            </w:r>
            <w:proofErr w:type="gramEnd"/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процентов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27779A" w:rsidRDefault="00CC79BB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27779A" w:rsidRDefault="00CC79BB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Default="00CC79BB">
            <w:r w:rsidRPr="00BA4F5C">
              <w:t>100</w:t>
            </w:r>
          </w:p>
        </w:tc>
      </w:tr>
      <w:tr w:rsidR="00CC79BB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506160">
              <w:rPr>
                <w:color w:val="000000"/>
              </w:rPr>
              <w:t>.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color w:val="000000"/>
              </w:rPr>
            </w:pPr>
            <w:r w:rsidRPr="00506160">
              <w:rPr>
                <w:color w:val="000000"/>
              </w:rPr>
              <w:t xml:space="preserve">Уровень актуализации информации о бюджете </w:t>
            </w:r>
            <w:r w:rsidR="005B383F">
              <w:rPr>
                <w:color w:val="000000"/>
              </w:rPr>
              <w:t>Аликовского муниципального округа</w:t>
            </w:r>
            <w:r w:rsidRPr="00506160">
              <w:rPr>
                <w:color w:val="000000"/>
              </w:rPr>
              <w:t xml:space="preserve"> на очередной финансовый год и плановый период, размещаемой на Портале управления </w:t>
            </w:r>
            <w:r>
              <w:rPr>
                <w:color w:val="000000"/>
              </w:rPr>
              <w:t>муниципаль</w:t>
            </w:r>
            <w:r w:rsidRPr="00506160">
              <w:rPr>
                <w:color w:val="000000"/>
              </w:rPr>
              <w:t>ными финансами Чувашской Республики в информационно-телекоммуникационной сети «Интернет»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процентов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27779A" w:rsidRDefault="00CC79BB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27779A" w:rsidRDefault="00CC79BB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Default="00CC79BB">
            <w:r w:rsidRPr="00BA4F5C">
              <w:t>100</w:t>
            </w:r>
          </w:p>
        </w:tc>
      </w:tr>
      <w:tr w:rsidR="00CC79BB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506160">
              <w:rPr>
                <w:color w:val="000000"/>
              </w:rPr>
              <w:t>.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color w:val="000000"/>
              </w:rPr>
            </w:pPr>
            <w:r w:rsidRPr="00506160">
              <w:rPr>
                <w:color w:val="000000"/>
              </w:rPr>
              <w:t xml:space="preserve">Отношение количества подготовленных заключений по результатам внешней </w:t>
            </w:r>
            <w:proofErr w:type="gramStart"/>
            <w:r w:rsidRPr="00506160">
              <w:rPr>
                <w:color w:val="000000"/>
              </w:rPr>
              <w:t>проверки годовой бюджетной отчетности главных администраторов средств бюджета</w:t>
            </w:r>
            <w:proofErr w:type="gramEnd"/>
            <w:r w:rsidRPr="00506160">
              <w:rPr>
                <w:color w:val="000000"/>
              </w:rPr>
              <w:t xml:space="preserve"> </w:t>
            </w:r>
            <w:r w:rsidR="005B383F">
              <w:rPr>
                <w:color w:val="000000"/>
              </w:rPr>
              <w:t>Аликовского муниципального округа</w:t>
            </w:r>
            <w:r w:rsidRPr="00506160">
              <w:rPr>
                <w:color w:val="000000"/>
              </w:rPr>
              <w:t xml:space="preserve"> к общему количеству поступивших отчетов главных администраторов средств бюджета </w:t>
            </w:r>
            <w:r w:rsidR="005B383F">
              <w:rPr>
                <w:color w:val="000000"/>
              </w:rPr>
              <w:t>Аликовского муниципального округа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процентов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27779A" w:rsidRDefault="00CC79BB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27779A" w:rsidRDefault="00CC79BB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Default="00CC79BB">
            <w:r w:rsidRPr="00BA4F5C">
              <w:t>100</w:t>
            </w:r>
          </w:p>
        </w:tc>
      </w:tr>
      <w:tr w:rsidR="00CC79BB" w:rsidRPr="0027779A" w:rsidTr="0027779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506160">
              <w:rPr>
                <w:color w:val="000000"/>
              </w:rPr>
              <w:t>.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color w:val="000000"/>
              </w:rPr>
            </w:pPr>
            <w:r w:rsidRPr="00506160">
              <w:rPr>
                <w:color w:val="000000"/>
              </w:rPr>
              <w:t xml:space="preserve">Отношение количества проведенных проверок законности, результативности (эффективности и экономности) использования средств бюджета </w:t>
            </w:r>
            <w:r w:rsidR="005B383F">
              <w:rPr>
                <w:color w:val="000000"/>
              </w:rPr>
              <w:t>Аликовского муниципального округа</w:t>
            </w:r>
            <w:r w:rsidRPr="00506160">
              <w:rPr>
                <w:color w:val="000000"/>
              </w:rPr>
              <w:t xml:space="preserve"> к количеству проверок, предусмотренных планом работы Контрольно-счетн</w:t>
            </w:r>
            <w:r>
              <w:rPr>
                <w:color w:val="000000"/>
              </w:rPr>
              <w:t xml:space="preserve">ого органа </w:t>
            </w:r>
            <w:r w:rsidR="005B383F">
              <w:rPr>
                <w:color w:val="000000"/>
              </w:rPr>
              <w:t>Аликовского муниципального округа</w:t>
            </w:r>
            <w:r w:rsidRPr="00506160">
              <w:rPr>
                <w:color w:val="000000"/>
              </w:rPr>
              <w:t xml:space="preserve"> на соответствующий финансовый год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процентов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506160" w:rsidRDefault="00CC79BB" w:rsidP="00543CB0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506160">
              <w:rPr>
                <w:color w:val="000000"/>
              </w:rPr>
              <w:t>100,0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27779A" w:rsidRDefault="00CC79BB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Pr="0027779A" w:rsidRDefault="00CC79BB" w:rsidP="00543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B" w:rsidRDefault="00CC79BB">
            <w:r w:rsidRPr="00BA4F5C">
              <w:t>100</w:t>
            </w:r>
          </w:p>
        </w:tc>
      </w:tr>
    </w:tbl>
    <w:p w:rsidR="00DA191F" w:rsidRPr="00164A73" w:rsidRDefault="00DA191F" w:rsidP="00DA191F">
      <w:pPr>
        <w:jc w:val="both"/>
        <w:rPr>
          <w:sz w:val="24"/>
          <w:szCs w:val="24"/>
        </w:rPr>
      </w:pPr>
    </w:p>
    <w:p w:rsidR="00DA191F" w:rsidRPr="00164A73" w:rsidRDefault="00DA191F" w:rsidP="00DA191F">
      <w:pPr>
        <w:pStyle w:val="a7"/>
        <w:jc w:val="both"/>
        <w:rPr>
          <w:rFonts w:ascii="Times New Roman" w:hAnsi="Times New Roman" w:cs="Times New Roman"/>
        </w:rPr>
      </w:pPr>
      <w:r w:rsidRPr="00164A73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DA191F" w:rsidRPr="00164A73" w:rsidRDefault="00DA191F" w:rsidP="00DA191F">
      <w:pPr>
        <w:jc w:val="both"/>
        <w:rPr>
          <w:sz w:val="24"/>
          <w:szCs w:val="24"/>
        </w:rPr>
      </w:pPr>
      <w:bookmarkStart w:id="2" w:name="sub_8888"/>
      <w:r w:rsidRPr="00164A73">
        <w:rPr>
          <w:sz w:val="24"/>
          <w:szCs w:val="24"/>
        </w:rPr>
        <w:t>* Приводится фактическое значение целевого индикатора и показателя за год, предшествующий отчетному</w:t>
      </w:r>
      <w:r>
        <w:rPr>
          <w:sz w:val="24"/>
          <w:szCs w:val="24"/>
        </w:rPr>
        <w:t xml:space="preserve"> году</w:t>
      </w:r>
      <w:r w:rsidRPr="00164A73">
        <w:rPr>
          <w:sz w:val="24"/>
          <w:szCs w:val="24"/>
        </w:rPr>
        <w:t>.</w:t>
      </w:r>
    </w:p>
    <w:bookmarkEnd w:id="2"/>
    <w:p w:rsidR="00DA191F" w:rsidRPr="00164A73" w:rsidRDefault="00DA191F" w:rsidP="00DA191F">
      <w:pPr>
        <w:jc w:val="both"/>
        <w:rPr>
          <w:sz w:val="24"/>
          <w:szCs w:val="24"/>
        </w:rPr>
      </w:pPr>
    </w:p>
    <w:p w:rsidR="00785448" w:rsidRDefault="00785448"/>
    <w:sectPr w:rsidR="00785448" w:rsidSect="00DA19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1F"/>
    <w:rsid w:val="00187E2E"/>
    <w:rsid w:val="001B6D83"/>
    <w:rsid w:val="0027779A"/>
    <w:rsid w:val="002A5D60"/>
    <w:rsid w:val="002C0F14"/>
    <w:rsid w:val="004402DC"/>
    <w:rsid w:val="00473664"/>
    <w:rsid w:val="004B5DED"/>
    <w:rsid w:val="00541007"/>
    <w:rsid w:val="005B383F"/>
    <w:rsid w:val="006826BD"/>
    <w:rsid w:val="006C48E4"/>
    <w:rsid w:val="00785448"/>
    <w:rsid w:val="007B7053"/>
    <w:rsid w:val="009F30DB"/>
    <w:rsid w:val="00AE6D69"/>
    <w:rsid w:val="00B37797"/>
    <w:rsid w:val="00BF0273"/>
    <w:rsid w:val="00CC79BB"/>
    <w:rsid w:val="00D05E7A"/>
    <w:rsid w:val="00D3423A"/>
    <w:rsid w:val="00DA191F"/>
    <w:rsid w:val="00E8600A"/>
    <w:rsid w:val="00F3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191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19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DA191F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DA191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DA191F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6">
    <w:name w:val="Цветовое выделение"/>
    <w:uiPriority w:val="99"/>
    <w:rsid w:val="00DA191F"/>
    <w:rPr>
      <w:b/>
      <w:bCs w:val="0"/>
      <w:color w:val="000080"/>
    </w:rPr>
  </w:style>
  <w:style w:type="paragraph" w:customStyle="1" w:styleId="a7">
    <w:name w:val="Таблицы (моноширинный)"/>
    <w:basedOn w:val="a"/>
    <w:next w:val="a"/>
    <w:uiPriority w:val="99"/>
    <w:rsid w:val="00DA191F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191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19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DA191F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DA191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DA191F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6">
    <w:name w:val="Цветовое выделение"/>
    <w:uiPriority w:val="99"/>
    <w:rsid w:val="00DA191F"/>
    <w:rPr>
      <w:b/>
      <w:bCs w:val="0"/>
      <w:color w:val="000080"/>
    </w:rPr>
  </w:style>
  <w:style w:type="paragraph" w:customStyle="1" w:styleId="a7">
    <w:name w:val="Таблицы (моноширинный)"/>
    <w:basedOn w:val="a"/>
    <w:next w:val="a"/>
    <w:uiPriority w:val="99"/>
    <w:rsid w:val="00DA191F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Local%20Settings\Temp\Temporary%20Internet%20Files\Content.IE5\3L2JI2MT\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4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alikov_finance1</dc:creator>
  <cp:lastModifiedBy>alikov-finance1</cp:lastModifiedBy>
  <cp:revision>18</cp:revision>
  <dcterms:created xsi:type="dcterms:W3CDTF">2020-02-07T10:34:00Z</dcterms:created>
  <dcterms:modified xsi:type="dcterms:W3CDTF">2025-03-06T07:50:00Z</dcterms:modified>
</cp:coreProperties>
</file>