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shd w:val="clear" w:color="auto" w:fill="ffffff"/>
        <w:tabs>
          <w:tab w:val="left" w:pos="3581" w:leader="none"/>
        </w:tabs>
        <w:spacing w:before="0" w:beforeAutospacing="0" w:after="0" w:afterAutospacing="0"/>
        <w:ind w:firstLine="709"/>
        <w:jc w:val="left"/>
        <w:rPr>
          <w:color w:val="262626"/>
          <w:highlight w:val="none"/>
        </w:rPr>
      </w:pPr>
      <w:r>
        <w:rPr>
          <w:color w:val="262626"/>
        </w:rPr>
      </w:r>
      <w:r>
        <w:rPr>
          <w:color w:val="262626"/>
        </w:rPr>
        <w:tab/>
      </w:r>
      <w:r>
        <w:rPr>
          <w:color w:val="262626"/>
          <w:highlight w:val="none"/>
        </w:rPr>
      </w:r>
      <w:r>
        <w:rPr>
          <w:color w:val="262626"/>
          <w:highlight w:val="none"/>
        </w:rPr>
      </w:r>
    </w:p>
    <w:p>
      <w:pPr>
        <w:pStyle w:val="853"/>
        <w:shd w:val="clear" w:color="auto" w:fill="ffffff"/>
        <w:spacing w:before="0" w:beforeAutospacing="0" w:after="0" w:afterAutospacing="0"/>
        <w:jc w:val="center"/>
        <w:rPr>
          <w:b/>
          <w:color w:val="262626"/>
          <w:highlight w:val="white"/>
        </w:rPr>
      </w:pPr>
      <w:r>
        <w:rPr>
          <w:b/>
          <w:color w:val="262626"/>
          <w:highlight w:val="white"/>
        </w:rPr>
        <w:t xml:space="preserve">Об итогах мониторинга роста платы граждан за коммунальные услуги </w:t>
      </w:r>
      <w:r>
        <w:rPr>
          <w:b/>
          <w:color w:val="262626"/>
          <w:highlight w:val="white"/>
        </w:rPr>
      </w:r>
      <w:r>
        <w:rPr>
          <w:b/>
          <w:color w:val="262626"/>
          <w:highlight w:val="white"/>
        </w:rPr>
      </w:r>
    </w:p>
    <w:p>
      <w:pPr>
        <w:pStyle w:val="85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  <w:highlight w:val="none"/>
        </w:rPr>
        <w:t xml:space="preserve">з</w:t>
      </w:r>
      <w:r>
        <w:rPr>
          <w:b/>
          <w:color w:val="262626"/>
          <w:highlight w:val="white"/>
        </w:rPr>
        <w:t xml:space="preserve">а октябрь  </w:t>
      </w:r>
      <w:r>
        <w:rPr>
          <w:b/>
          <w:color w:val="262626"/>
          <w:highlight w:val="white"/>
        </w:rPr>
        <w:t xml:space="preserve">202</w:t>
      </w:r>
      <w:r>
        <w:rPr>
          <w:b/>
          <w:color w:val="262626"/>
          <w:highlight w:val="white"/>
        </w:rPr>
        <w:t xml:space="preserve">4</w:t>
      </w:r>
      <w:r>
        <w:rPr>
          <w:b/>
          <w:color w:val="262626"/>
          <w:highlight w:val="white"/>
        </w:rPr>
        <w:t xml:space="preserve"> год</w:t>
      </w:r>
      <w:r>
        <w:rPr>
          <w:b/>
          <w:color w:val="262626"/>
        </w:rPr>
      </w:r>
      <w:r>
        <w:rPr>
          <w:b/>
          <w:color w:val="262626"/>
        </w:rPr>
      </w:r>
    </w:p>
    <w:p>
      <w:pPr>
        <w:pStyle w:val="85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</w:r>
      <w:r>
        <w:rPr>
          <w:color w:val="262626"/>
        </w:rPr>
      </w:r>
      <w:r>
        <w:rPr>
          <w:color w:val="262626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Структура платы граждан за коммунальные услуги определена ч.4 ст.154 Жилищ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ного кодекса Российской Фед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В соответствии с законодательством предельные индексы изменения размера вносимой гражданами платы за коммунальны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rFonts w:ascii="PT Astra Serif" w:hAnsi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Указом Главы Чувашской Республики от 15 декабря 2023 г. № 192 «О предельных (максимальных) индексах изменения размера вносимой гражданами платы за коммунальные услуги в муниципальных образованиях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 установлены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индексы изменения размера вносимой гражданами платы за коммунальные услуги в муниципальных образованиях Чувашской Республики на второе полугодие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2024 года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8"/>
        <w:jc w:val="both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В целом, изменение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размера платы граждан за коммунальные услуги в среднем по всем муниципальным образованиям Чувашской Республики не превысит установленного Правительством РФ ограничения, в среднем равное 9,6%.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Но предусмотрено предельное допустимое отклонение от этого индекса: для нашего региона 3,2%.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В связи с чем,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в некоторых район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ах и городах повышение будет достигать  12,8%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Госжилинспекцией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Чувашии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проведен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мониторинг роста платы граждан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за октябрь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202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4 года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, проживающих;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Чебоксары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пгт. Новые Лапсары, ул. Совхозная, д. 5;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Чебоксары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ул. Гагарина, д.47/4, ул. Гагарина д. 27, ул. Калинина д. 91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 г. Новочебоксарск, ул.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Винокурова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д.84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Пор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ецкий р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айон, с. Порецкое, ул. Ульянова, д. 133, ул. Кирова, д. 54;</w:t>
      </w:r>
      <w:r>
        <w:rPr>
          <w:rFonts w:ascii="PT Astra Serif" w:hAnsi="PT Astra Serif" w:cs="PT Astra Serif"/>
          <w:color w:val="262626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uppressLineNumbers w:val="0"/>
        <w:spacing w:after="0" w:afterAutospacing="0" w:line="240" w:lineRule="auto"/>
        <w:ind w:left="0" w:right="0" w:firstLine="283"/>
        <w:rPr>
          <w:rFonts w:ascii="PT Astra Serif" w:hAnsi="PT Astra Serif" w:cs="PT Astra Serif"/>
          <w:color w:val="262626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- Мариинско-Посадский район, г.Мариинский Посад, ул.Лазо, д.68, ул.Курчатово, д. 5;</w:t>
      </w:r>
      <w:r>
        <w:rPr>
          <w:rFonts w:ascii="PT Astra Serif" w:hAnsi="PT Astra Serif" w:cs="PT Astra Serif"/>
          <w:color w:val="262626"/>
          <w:sz w:val="24"/>
          <w:szCs w:val="24"/>
        </w:rPr>
      </w:r>
      <w:r>
        <w:rPr>
          <w:rFonts w:ascii="PT Astra Serif" w:hAnsi="PT Astra Serif" w:cs="PT Astra Serif"/>
          <w:color w:val="262626"/>
          <w:sz w:val="24"/>
          <w:szCs w:val="24"/>
          <w:highlight w:val="none"/>
        </w:rPr>
      </w:r>
    </w:p>
    <w:p>
      <w:pPr>
        <w:suppressLineNumbers w:val="0"/>
        <w:spacing w:after="0" w:afterAutospacing="0" w:line="240" w:lineRule="auto"/>
        <w:ind w:left="0" w:right="0" w:firstLine="283"/>
        <w:rPr>
          <w:rFonts w:ascii="PT Astra Serif" w:hAnsi="PT Astra Serif" w:cs="PT Astra Serif"/>
          <w:color w:val="262626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PT Astra Serif" w:hAnsi="PT Astra Serif" w:cs="PT Astra Serif"/>
          <w:color w:val="262626"/>
          <w:sz w:val="24"/>
          <w:szCs w:val="24"/>
          <w:highlight w:val="none"/>
        </w:rPr>
        <w:t xml:space="preserve">Козловский район, г. Козловка, ул. Николаева, д.  3, ул. Герцена, д. 12;</w:t>
      </w:r>
      <w:r>
        <w:rPr>
          <w:rFonts w:ascii="PT Astra Serif" w:hAnsi="PT Astra Serif" w:cs="PT Astra Serif"/>
          <w:color w:val="262626"/>
          <w:sz w:val="24"/>
          <w:szCs w:val="24"/>
        </w:rPr>
      </w:r>
      <w:r>
        <w:rPr>
          <w:rFonts w:ascii="PT Astra Serif" w:hAnsi="PT Astra Serif" w:cs="PT Astra Serif"/>
          <w:color w:val="262626"/>
          <w:sz w:val="24"/>
          <w:szCs w:val="24"/>
          <w:highlight w:val="none"/>
        </w:rPr>
      </w:r>
    </w:p>
    <w:p>
      <w:pPr>
        <w:suppressLineNumbers w:val="0"/>
        <w:spacing w:after="0" w:afterAutospacing="0" w:line="240" w:lineRule="auto"/>
        <w:ind w:left="0" w:right="0" w:firstLine="283"/>
        <w:rPr>
          <w:rFonts w:ascii="PT Astra Serif" w:hAnsi="PT Astra Serif" w:cs="PT Astra Serif"/>
          <w:color w:val="262626"/>
          <w:sz w:val="24"/>
          <w:szCs w:val="24"/>
        </w:rPr>
      </w:pPr>
      <w:r>
        <w:rPr>
          <w:rFonts w:ascii="PT Astra Serif" w:hAnsi="PT Astra Serif" w:cs="PT Astra Serif"/>
          <w:color w:val="262626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PT Astra Serif" w:hAnsi="PT Astra Serif" w:cs="PT Astra Serif"/>
          <w:color w:val="262626"/>
          <w:sz w:val="24"/>
          <w:szCs w:val="24"/>
          <w:highlight w:val="none"/>
        </w:rPr>
        <w:t xml:space="preserve">Крас</w:t>
      </w:r>
      <w:r>
        <w:rPr>
          <w:rFonts w:ascii="PT Astra Serif" w:hAnsi="PT Astra Serif" w:cs="PT Astra Serif"/>
          <w:color w:val="262626"/>
          <w:sz w:val="24"/>
          <w:szCs w:val="24"/>
          <w:highlight w:val="none"/>
        </w:rPr>
        <w:t xml:space="preserve">ночетайский район, с. Красные Четаи, ул. Новая, д. 19.    </w:t>
      </w:r>
      <w:r>
        <w:rPr>
          <w:rFonts w:ascii="PT Astra Serif" w:hAnsi="PT Astra Serif" w:cs="PT Astra Serif"/>
          <w:color w:val="262626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262626"/>
          <w:sz w:val="24"/>
          <w:szCs w:val="24"/>
        </w:rPr>
      </w:pP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При сопоставимом перечне услуг и сопоставимом объеме потребления коммунальных услуг рост платы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 за коммунальные услуги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превыси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л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Рост абсолютной величины платы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  <w:r>
        <w:rPr>
          <w:rFonts w:ascii="PT Astra Serif" w:hAnsi="PT Astra Serif" w:cs="PT Astra Serif"/>
          <w:color w:val="262626"/>
          <w:sz w:val="24"/>
          <w:szCs w:val="24"/>
        </w:rPr>
      </w:r>
      <w:r>
        <w:rPr>
          <w:rFonts w:ascii="PT Astra Serif" w:hAnsi="PT Astra Serif" w:cs="PT Astra Serif"/>
          <w:color w:val="262626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262626"/>
          <w:sz w:val="24"/>
          <w:szCs w:val="24"/>
        </w:rPr>
      </w:pP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контролем за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  <w:r>
        <w:rPr>
          <w:rFonts w:ascii="PT Astra Serif" w:hAnsi="PT Astra Serif" w:cs="PT Astra Serif"/>
          <w:color w:val="262626"/>
          <w:sz w:val="24"/>
          <w:szCs w:val="24"/>
        </w:rPr>
      </w:r>
      <w:r>
        <w:rPr>
          <w:rFonts w:ascii="PT Astra Serif" w:hAnsi="PT Astra Serif" w:cs="PT Astra Serif"/>
          <w:color w:val="262626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В целях социальной поддержки населения, если доля расходов на оплату жилого помещения и коммунальных услуг в сов</w:t>
      </w:r>
      <w:r>
        <w:rPr>
          <w:rFonts w:ascii="PT Astra Serif" w:hAnsi="PT Astra Serif" w:eastAsia="PT Astra Serif" w:cs="PT Astra Serif"/>
          <w:color w:val="262626"/>
          <w:sz w:val="24"/>
          <w:szCs w:val="24"/>
          <w:lang w:eastAsia="ru-RU"/>
        </w:rPr>
        <w:t xml:space="preserve">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2">
    <w:name w:val="Title Char"/>
    <w:basedOn w:val="850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50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0">
    <w:name w:val="Header Char"/>
    <w:basedOn w:val="850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2">
    <w:name w:val="Footer Char"/>
    <w:basedOn w:val="850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spacing w:after="57"/>
      <w:ind w:left="0" w:right="0" w:firstLine="0"/>
    </w:pPr>
  </w:style>
  <w:style w:type="paragraph" w:styleId="839">
    <w:name w:val="toc 2"/>
    <w:basedOn w:val="849"/>
    <w:next w:val="849"/>
    <w:uiPriority w:val="39"/>
    <w:unhideWhenUsed/>
    <w:pPr>
      <w:spacing w:after="57"/>
      <w:ind w:left="283" w:right="0" w:firstLine="0"/>
    </w:pPr>
  </w:style>
  <w:style w:type="paragraph" w:styleId="840">
    <w:name w:val="toc 3"/>
    <w:basedOn w:val="849"/>
    <w:next w:val="849"/>
    <w:uiPriority w:val="39"/>
    <w:unhideWhenUsed/>
    <w:pPr>
      <w:spacing w:after="57"/>
      <w:ind w:left="567" w:right="0" w:firstLine="0"/>
    </w:pPr>
  </w:style>
  <w:style w:type="paragraph" w:styleId="841">
    <w:name w:val="toc 4"/>
    <w:basedOn w:val="849"/>
    <w:next w:val="849"/>
    <w:uiPriority w:val="39"/>
    <w:unhideWhenUsed/>
    <w:pPr>
      <w:spacing w:after="57"/>
      <w:ind w:left="850" w:right="0" w:firstLine="0"/>
    </w:pPr>
  </w:style>
  <w:style w:type="paragraph" w:styleId="842">
    <w:name w:val="toc 5"/>
    <w:basedOn w:val="849"/>
    <w:next w:val="849"/>
    <w:uiPriority w:val="39"/>
    <w:unhideWhenUsed/>
    <w:pPr>
      <w:spacing w:after="57"/>
      <w:ind w:left="1134" w:right="0" w:firstLine="0"/>
    </w:pPr>
  </w:style>
  <w:style w:type="paragraph" w:styleId="843">
    <w:name w:val="toc 6"/>
    <w:basedOn w:val="849"/>
    <w:next w:val="849"/>
    <w:uiPriority w:val="39"/>
    <w:unhideWhenUsed/>
    <w:pPr>
      <w:spacing w:after="57"/>
      <w:ind w:left="1417" w:right="0" w:firstLine="0"/>
    </w:pPr>
  </w:style>
  <w:style w:type="paragraph" w:styleId="844">
    <w:name w:val="toc 7"/>
    <w:basedOn w:val="849"/>
    <w:next w:val="849"/>
    <w:uiPriority w:val="39"/>
    <w:unhideWhenUsed/>
    <w:pPr>
      <w:spacing w:after="57"/>
      <w:ind w:left="1701" w:right="0" w:firstLine="0"/>
    </w:pPr>
  </w:style>
  <w:style w:type="paragraph" w:styleId="845">
    <w:name w:val="toc 8"/>
    <w:basedOn w:val="849"/>
    <w:next w:val="849"/>
    <w:uiPriority w:val="39"/>
    <w:unhideWhenUsed/>
    <w:pPr>
      <w:spacing w:after="57"/>
      <w:ind w:left="1984" w:right="0" w:firstLine="0"/>
    </w:pPr>
  </w:style>
  <w:style w:type="paragraph" w:styleId="846">
    <w:name w:val="toc 9"/>
    <w:basedOn w:val="849"/>
    <w:next w:val="849"/>
    <w:uiPriority w:val="39"/>
    <w:unhideWhenUsed/>
    <w:pPr>
      <w:spacing w:after="57"/>
      <w:ind w:left="2268" w:right="0" w:firstLine="0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Normal (Web)"/>
    <w:basedOn w:val="84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List Paragraph"/>
    <w:basedOn w:val="849"/>
    <w:uiPriority w:val="34"/>
    <w:qFormat/>
    <w:pPr>
      <w:ind w:left="720"/>
      <w:contextualSpacing/>
    </w:pPr>
  </w:style>
  <w:style w:type="paragraph" w:styleId="855">
    <w:name w:val="Balloon Text"/>
    <w:basedOn w:val="849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850"/>
    <w:link w:val="85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F05A-0410-4E0E-857E-8D97A09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ЧР Оксана Леончик</dc:creator>
  <cp:keywords/>
  <dc:description/>
  <cp:revision>10</cp:revision>
  <dcterms:created xsi:type="dcterms:W3CDTF">2024-02-14T05:45:00Z</dcterms:created>
  <dcterms:modified xsi:type="dcterms:W3CDTF">2024-11-13T10:47:09Z</dcterms:modified>
</cp:coreProperties>
</file>