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673E" w14:textId="43B56065" w:rsidR="002E6031" w:rsidRDefault="002E6031" w:rsidP="002E6031">
      <w:pPr>
        <w:suppressAutoHyphens/>
        <w:ind w:left="709"/>
        <w:jc w:val="right"/>
        <w:rPr>
          <w:sz w:val="26"/>
          <w:szCs w:val="26"/>
        </w:rPr>
      </w:pPr>
      <w:r>
        <w:rPr>
          <w:sz w:val="26"/>
          <w:szCs w:val="26"/>
        </w:rPr>
        <w:t>ПРОЕКТ</w:t>
      </w:r>
    </w:p>
    <w:p w14:paraId="43101C25" w14:textId="77777777" w:rsidR="002E6031" w:rsidRDefault="002E6031" w:rsidP="002E6031">
      <w:pPr>
        <w:suppressAutoHyphens/>
        <w:ind w:left="709"/>
        <w:jc w:val="both"/>
        <w:rPr>
          <w:sz w:val="26"/>
          <w:szCs w:val="26"/>
        </w:rPr>
      </w:pPr>
    </w:p>
    <w:p w14:paraId="6E16AF1B" w14:textId="4CD6C0C2" w:rsidR="002E6031" w:rsidRPr="003B433E" w:rsidRDefault="002E6031" w:rsidP="002E6031">
      <w:pPr>
        <w:suppressAutoHyphens/>
        <w:ind w:left="709"/>
        <w:jc w:val="both"/>
        <w:rPr>
          <w:sz w:val="26"/>
          <w:szCs w:val="26"/>
        </w:rPr>
      </w:pPr>
      <w:r>
        <w:rPr>
          <w:sz w:val="26"/>
          <w:szCs w:val="26"/>
        </w:rPr>
        <w:t>Изменения в текстовую часть Правил:</w:t>
      </w:r>
    </w:p>
    <w:p w14:paraId="77489B1D" w14:textId="77777777" w:rsidR="002E6031" w:rsidRPr="003B433E" w:rsidRDefault="002E6031" w:rsidP="002E6031">
      <w:pPr>
        <w:keepNext/>
        <w:numPr>
          <w:ilvl w:val="0"/>
          <w:numId w:val="2"/>
        </w:numPr>
        <w:ind w:left="0" w:firstLine="644"/>
        <w:jc w:val="both"/>
        <w:outlineLvl w:val="1"/>
        <w:rPr>
          <w:sz w:val="26"/>
          <w:szCs w:val="26"/>
        </w:rPr>
      </w:pPr>
      <w:bookmarkStart w:id="0" w:name="_Toc151116373"/>
      <w:r w:rsidRPr="003B433E">
        <w:rPr>
          <w:iCs/>
          <w:sz w:val="26"/>
          <w:szCs w:val="26"/>
        </w:rPr>
        <w:t>в пункте 11 статьи 23 «Подготовка и утверждение документации по планировке территории</w:t>
      </w:r>
      <w:bookmarkEnd w:id="0"/>
      <w:r w:rsidRPr="003B433E">
        <w:rPr>
          <w:iCs/>
          <w:sz w:val="26"/>
          <w:szCs w:val="26"/>
        </w:rPr>
        <w:t xml:space="preserve">» </w:t>
      </w:r>
      <w:r>
        <w:rPr>
          <w:iCs/>
          <w:sz w:val="26"/>
          <w:szCs w:val="26"/>
        </w:rPr>
        <w:t xml:space="preserve">слова </w:t>
      </w:r>
      <w:r w:rsidRPr="003B433E">
        <w:rPr>
          <w:iCs/>
          <w:sz w:val="26"/>
          <w:szCs w:val="26"/>
        </w:rPr>
        <w:t>«</w:t>
      </w:r>
      <w:r w:rsidRPr="003B433E">
        <w:rPr>
          <w:sz w:val="26"/>
          <w:szCs w:val="26"/>
        </w:rPr>
        <w:t xml:space="preserve">двадцать рабочих дней» заменить </w:t>
      </w:r>
      <w:r>
        <w:rPr>
          <w:sz w:val="26"/>
          <w:szCs w:val="26"/>
        </w:rPr>
        <w:t xml:space="preserve">словами </w:t>
      </w:r>
      <w:r w:rsidRPr="003B433E">
        <w:rPr>
          <w:sz w:val="26"/>
          <w:szCs w:val="26"/>
        </w:rPr>
        <w:t>«пятнадцать рабочих дней»;</w:t>
      </w:r>
    </w:p>
    <w:p w14:paraId="37738E90" w14:textId="77777777" w:rsidR="002E6031" w:rsidRPr="003B433E" w:rsidRDefault="002E6031" w:rsidP="002E6031">
      <w:pPr>
        <w:keepNext/>
        <w:numPr>
          <w:ilvl w:val="0"/>
          <w:numId w:val="2"/>
        </w:numPr>
        <w:autoSpaceDE w:val="0"/>
        <w:autoSpaceDN w:val="0"/>
        <w:adjustRightInd w:val="0"/>
        <w:ind w:left="0" w:firstLine="709"/>
        <w:jc w:val="both"/>
        <w:outlineLvl w:val="1"/>
        <w:rPr>
          <w:sz w:val="26"/>
          <w:szCs w:val="26"/>
        </w:rPr>
      </w:pPr>
      <w:r w:rsidRPr="003B433E">
        <w:rPr>
          <w:iCs/>
          <w:sz w:val="26"/>
          <w:szCs w:val="26"/>
        </w:rPr>
        <w:t>в пункт</w:t>
      </w:r>
      <w:bookmarkStart w:id="1" w:name="_Toc151116375"/>
      <w:r w:rsidRPr="003B433E">
        <w:rPr>
          <w:iCs/>
          <w:sz w:val="26"/>
          <w:szCs w:val="26"/>
        </w:rPr>
        <w:t xml:space="preserve">е 6 статьи 24 «Особенности проведения общественных обсуждений или публичных слушаний по вопросам землепользования и </w:t>
      </w:r>
      <w:bookmarkEnd w:id="1"/>
      <w:r w:rsidRPr="003B433E">
        <w:rPr>
          <w:iCs/>
          <w:sz w:val="26"/>
          <w:szCs w:val="26"/>
        </w:rPr>
        <w:t xml:space="preserve">застройки» </w:t>
      </w:r>
      <w:r w:rsidRPr="003B433E">
        <w:rPr>
          <w:sz w:val="26"/>
          <w:szCs w:val="26"/>
        </w:rPr>
        <w:t>слова «в связи с принятием решения о комплексном развитии территории,</w:t>
      </w:r>
      <w:r>
        <w:rPr>
          <w:sz w:val="26"/>
          <w:szCs w:val="26"/>
        </w:rPr>
        <w:t>» заменить</w:t>
      </w:r>
      <w:r w:rsidRPr="003B433E">
        <w:rPr>
          <w:sz w:val="26"/>
          <w:szCs w:val="26"/>
        </w:rPr>
        <w:t xml:space="preserve"> словами </w:t>
      </w:r>
      <w:r>
        <w:rPr>
          <w:sz w:val="26"/>
          <w:szCs w:val="26"/>
        </w:rPr>
        <w:t>«</w:t>
      </w:r>
      <w:r w:rsidRPr="003B433E">
        <w:rPr>
          <w:sz w:val="26"/>
          <w:szCs w:val="26"/>
        </w:rPr>
        <w:t xml:space="preserve">в целях комплексного развития территории»; </w:t>
      </w:r>
    </w:p>
    <w:p w14:paraId="6730FADC" w14:textId="77777777" w:rsidR="002E6031" w:rsidRPr="003B433E" w:rsidRDefault="002E6031" w:rsidP="002E6031">
      <w:pPr>
        <w:keepNext/>
        <w:numPr>
          <w:ilvl w:val="0"/>
          <w:numId w:val="2"/>
        </w:numPr>
        <w:autoSpaceDE w:val="0"/>
        <w:autoSpaceDN w:val="0"/>
        <w:adjustRightInd w:val="0"/>
        <w:ind w:left="0" w:firstLine="709"/>
        <w:jc w:val="both"/>
        <w:outlineLvl w:val="1"/>
        <w:rPr>
          <w:sz w:val="26"/>
          <w:szCs w:val="26"/>
        </w:rPr>
      </w:pPr>
      <w:r w:rsidRPr="003B433E">
        <w:rPr>
          <w:sz w:val="26"/>
          <w:szCs w:val="26"/>
        </w:rPr>
        <w:t>часть 6 пункта 2 статьи 25 «</w:t>
      </w:r>
      <w:r w:rsidRPr="003B433E">
        <w:rPr>
          <w:iCs/>
          <w:sz w:val="26"/>
          <w:szCs w:val="26"/>
        </w:rPr>
        <w:t xml:space="preserve">Порядок внесения изменений в Правила» </w:t>
      </w:r>
      <w:r w:rsidRPr="003B433E">
        <w:rPr>
          <w:sz w:val="26"/>
          <w:szCs w:val="26"/>
        </w:rPr>
        <w:t xml:space="preserve">изложить в следующей редакции: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B433E">
        <w:rPr>
          <w:sz w:val="26"/>
          <w:szCs w:val="26"/>
        </w:rPr>
        <w:t>«6) Принятие решения о комплексном развитии территории или заключение в соответствии со </w:t>
      </w:r>
      <w:hyperlink r:id="rId5" w:anchor="dst3521" w:history="1">
        <w:r w:rsidRPr="003B433E">
          <w:rPr>
            <w:rStyle w:val="ad"/>
            <w:rFonts w:eastAsiaTheme="majorEastAsia"/>
            <w:sz w:val="26"/>
            <w:szCs w:val="26"/>
          </w:rPr>
          <w:t>статьей 70</w:t>
        </w:r>
      </w:hyperlink>
      <w:r w:rsidRPr="003B433E">
        <w:rPr>
          <w:sz w:val="26"/>
          <w:szCs w:val="26"/>
        </w:rPr>
        <w:t>  Градостроительного Кодекса РФ договора о комплексном развитии территории;»</w:t>
      </w:r>
    </w:p>
    <w:p w14:paraId="5D14ADE0" w14:textId="77777777" w:rsidR="002E6031" w:rsidRPr="003B433E" w:rsidRDefault="002E6031" w:rsidP="002E6031">
      <w:pPr>
        <w:keepNext/>
        <w:numPr>
          <w:ilvl w:val="0"/>
          <w:numId w:val="2"/>
        </w:numPr>
        <w:tabs>
          <w:tab w:val="left" w:pos="709"/>
        </w:tabs>
        <w:ind w:left="0" w:firstLine="644"/>
        <w:jc w:val="both"/>
        <w:outlineLvl w:val="1"/>
        <w:rPr>
          <w:iCs/>
          <w:sz w:val="26"/>
          <w:szCs w:val="26"/>
        </w:rPr>
      </w:pPr>
      <w:r w:rsidRPr="003B433E">
        <w:rPr>
          <w:sz w:val="26"/>
          <w:szCs w:val="26"/>
        </w:rPr>
        <w:t xml:space="preserve">пункт 1 статьи </w:t>
      </w:r>
      <w:bookmarkStart w:id="2" w:name="_Toc500323159"/>
      <w:bookmarkStart w:id="3" w:name="_Toc14440732"/>
      <w:bookmarkStart w:id="4" w:name="_Toc19737858"/>
      <w:bookmarkStart w:id="5" w:name="_Toc22045524"/>
      <w:bookmarkStart w:id="6" w:name="_Toc66791074"/>
      <w:bookmarkStart w:id="7" w:name="_Toc97723752"/>
      <w:bookmarkStart w:id="8" w:name="_Toc151116380"/>
      <w:r w:rsidRPr="003B433E">
        <w:rPr>
          <w:sz w:val="26"/>
          <w:szCs w:val="26"/>
        </w:rPr>
        <w:t>27 «</w:t>
      </w:r>
      <w:r w:rsidRPr="003B433E">
        <w:rPr>
          <w:iCs/>
          <w:sz w:val="26"/>
          <w:szCs w:val="26"/>
        </w:rPr>
        <w:t>Содержание карты градостроительного зонирования</w:t>
      </w:r>
      <w:bookmarkEnd w:id="2"/>
      <w:bookmarkEnd w:id="3"/>
      <w:bookmarkEnd w:id="4"/>
      <w:bookmarkEnd w:id="5"/>
      <w:bookmarkEnd w:id="6"/>
      <w:bookmarkEnd w:id="7"/>
      <w:bookmarkEnd w:id="8"/>
      <w:r w:rsidRPr="003B433E">
        <w:rPr>
          <w:iCs/>
          <w:sz w:val="26"/>
          <w:szCs w:val="26"/>
        </w:rPr>
        <w:t>» изложить в следующей редакции</w:t>
      </w:r>
      <w:r>
        <w:rPr>
          <w:iCs/>
          <w:sz w:val="26"/>
          <w:szCs w:val="26"/>
        </w:rPr>
        <w:t>:</w:t>
      </w:r>
    </w:p>
    <w:p w14:paraId="7D5F500D" w14:textId="77777777" w:rsidR="002E6031" w:rsidRPr="003B433E" w:rsidRDefault="002E6031" w:rsidP="002E6031">
      <w:pPr>
        <w:pStyle w:val="a7"/>
        <w:tabs>
          <w:tab w:val="left" w:pos="851"/>
          <w:tab w:val="left" w:pos="1134"/>
        </w:tabs>
        <w:ind w:left="0" w:firstLine="709"/>
        <w:jc w:val="both"/>
        <w:rPr>
          <w:sz w:val="26"/>
          <w:szCs w:val="26"/>
        </w:rPr>
      </w:pPr>
      <w:bookmarkStart w:id="9" w:name="sub_1201"/>
      <w:r w:rsidRPr="003B433E">
        <w:rPr>
          <w:sz w:val="26"/>
          <w:szCs w:val="26"/>
        </w:rPr>
        <w:t xml:space="preserve">«1. Карта градостроительного зонирования </w:t>
      </w:r>
      <w:r w:rsidRPr="003B433E">
        <w:rPr>
          <w:rFonts w:eastAsia="Calibri"/>
          <w:iCs/>
          <w:sz w:val="26"/>
          <w:szCs w:val="26"/>
        </w:rPr>
        <w:t xml:space="preserve">Чебоксарского муниципального округа </w:t>
      </w:r>
      <w:r w:rsidRPr="003B433E">
        <w:rPr>
          <w:sz w:val="26"/>
          <w:szCs w:val="26"/>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Pr="003B433E">
        <w:rPr>
          <w:rFonts w:eastAsia="Calibri"/>
          <w:iCs/>
          <w:sz w:val="26"/>
          <w:szCs w:val="26"/>
        </w:rPr>
        <w:t>Чебоксарского муниципального округа</w:t>
      </w:r>
      <w:r w:rsidRPr="003B433E">
        <w:rPr>
          <w:sz w:val="26"/>
          <w:szCs w:val="26"/>
        </w:rPr>
        <w:t xml:space="preserve">, границ территориальных зон, </w:t>
      </w:r>
      <w:bookmarkEnd w:id="9"/>
      <w:r w:rsidRPr="003B433E">
        <w:rPr>
          <w:sz w:val="26"/>
          <w:szCs w:val="26"/>
        </w:rPr>
        <w:t>границ зон с особыми условиями использования территорий, границ территорий объектов культурного наследия, границ территорий исторических поселений федерального значения, границ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4C8EEF38" w14:textId="77777777" w:rsidR="002E6031" w:rsidRPr="003B433E" w:rsidRDefault="002E6031" w:rsidP="002E6031">
      <w:pPr>
        <w:suppressAutoHyphens/>
        <w:ind w:firstLine="709"/>
        <w:jc w:val="both"/>
        <w:rPr>
          <w:sz w:val="26"/>
          <w:szCs w:val="26"/>
        </w:rPr>
      </w:pPr>
      <w:r w:rsidRPr="003B433E">
        <w:rPr>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14:paraId="227C11C9" w14:textId="77777777" w:rsidR="002E6031" w:rsidRPr="003B433E" w:rsidRDefault="002E6031" w:rsidP="002E6031">
      <w:pPr>
        <w:suppressAutoHyphens/>
        <w:ind w:firstLine="709"/>
        <w:jc w:val="both"/>
        <w:rPr>
          <w:sz w:val="26"/>
          <w:szCs w:val="26"/>
        </w:rPr>
      </w:pPr>
      <w:r w:rsidRPr="003B433E">
        <w:rPr>
          <w:sz w:val="26"/>
          <w:szCs w:val="26"/>
        </w:rPr>
        <w:t>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14:paraId="0CC308B7" w14:textId="77777777" w:rsidR="002E6031" w:rsidRPr="003B433E" w:rsidRDefault="002E6031" w:rsidP="002E6031">
      <w:pPr>
        <w:suppressAutoHyphens/>
        <w:ind w:firstLine="709"/>
        <w:jc w:val="both"/>
        <w:rPr>
          <w:sz w:val="26"/>
          <w:szCs w:val="26"/>
        </w:rPr>
      </w:pPr>
      <w:r w:rsidRPr="003B433E">
        <w:rPr>
          <w:sz w:val="26"/>
          <w:szCs w:val="26"/>
        </w:rPr>
        <w:t xml:space="preserve">5)  размера минимального предельного параметра земельного участка с 0,015 га на 0,03 га с видом разрешенного использования с кодом 2.3 «Блокированная жилая застройка» в статье 29 «Градостроительный регламент зоны застройки индивидуальными жилыми домами (Ж.1), </w:t>
      </w:r>
    </w:p>
    <w:p w14:paraId="31320CE7" w14:textId="77777777" w:rsidR="002E6031" w:rsidRPr="003B433E" w:rsidRDefault="002E6031" w:rsidP="002E6031">
      <w:pPr>
        <w:suppressAutoHyphens/>
        <w:ind w:firstLine="709"/>
        <w:jc w:val="both"/>
        <w:rPr>
          <w:sz w:val="26"/>
          <w:szCs w:val="26"/>
        </w:rPr>
      </w:pPr>
      <w:r w:rsidRPr="003B433E">
        <w:rPr>
          <w:sz w:val="26"/>
          <w:szCs w:val="26"/>
        </w:rPr>
        <w:t>6) в стать</w:t>
      </w:r>
      <w:r>
        <w:rPr>
          <w:sz w:val="26"/>
          <w:szCs w:val="26"/>
        </w:rPr>
        <w:t>е</w:t>
      </w:r>
      <w:r w:rsidRPr="003B433E">
        <w:rPr>
          <w:sz w:val="26"/>
          <w:szCs w:val="26"/>
        </w:rPr>
        <w:t xml:space="preserve"> 31 «Градостроительный регламент зоны застройки среднеэтажными жилыми домами (Ж.3)</w:t>
      </w:r>
      <w:r>
        <w:rPr>
          <w:sz w:val="26"/>
          <w:szCs w:val="26"/>
        </w:rPr>
        <w:t xml:space="preserve"> </w:t>
      </w:r>
      <w:r w:rsidRPr="003B433E">
        <w:rPr>
          <w:sz w:val="26"/>
          <w:szCs w:val="26"/>
        </w:rPr>
        <w:t>включить</w:t>
      </w:r>
      <w:r>
        <w:rPr>
          <w:sz w:val="26"/>
          <w:szCs w:val="26"/>
        </w:rPr>
        <w:t xml:space="preserve"> </w:t>
      </w:r>
      <w:r w:rsidRPr="003B433E">
        <w:rPr>
          <w:sz w:val="26"/>
          <w:szCs w:val="26"/>
        </w:rPr>
        <w:t xml:space="preserve">в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2.1.1 «Малоэтажная </w:t>
      </w:r>
      <w:r w:rsidRPr="003B433E">
        <w:rPr>
          <w:sz w:val="26"/>
          <w:szCs w:val="26"/>
        </w:rPr>
        <w:lastRenderedPageBreak/>
        <w:t>многоквартирная жилая застройка», исключив его из условно разрешенного вида использования;</w:t>
      </w:r>
    </w:p>
    <w:p w14:paraId="6B353074" w14:textId="77777777" w:rsidR="002E6031" w:rsidRDefault="002E6031" w:rsidP="002E6031">
      <w:pPr>
        <w:suppressAutoHyphens/>
        <w:ind w:firstLine="709"/>
        <w:jc w:val="both"/>
        <w:rPr>
          <w:sz w:val="26"/>
          <w:szCs w:val="26"/>
        </w:rPr>
      </w:pPr>
      <w:r w:rsidRPr="003B433E">
        <w:rPr>
          <w:sz w:val="26"/>
          <w:szCs w:val="26"/>
        </w:rPr>
        <w:t xml:space="preserve">7) в </w:t>
      </w:r>
      <w:r w:rsidRPr="00BF64C4">
        <w:rPr>
          <w:sz w:val="26"/>
          <w:szCs w:val="26"/>
        </w:rPr>
        <w:t>стать</w:t>
      </w:r>
      <w:r>
        <w:rPr>
          <w:sz w:val="26"/>
          <w:szCs w:val="26"/>
        </w:rPr>
        <w:t>е</w:t>
      </w:r>
      <w:r w:rsidRPr="00BF64C4">
        <w:rPr>
          <w:sz w:val="26"/>
          <w:szCs w:val="26"/>
        </w:rPr>
        <w:t xml:space="preserve"> 33 «</w:t>
      </w:r>
      <w:r w:rsidRPr="00BF64C4">
        <w:rPr>
          <w:iCs/>
          <w:sz w:val="26"/>
          <w:szCs w:val="26"/>
        </w:rPr>
        <w:t>Градостроительный регламент зоны общественно-деловой застройки (ОД)</w:t>
      </w:r>
      <w:r w:rsidRPr="00BF64C4">
        <w:rPr>
          <w:sz w:val="26"/>
          <w:szCs w:val="26"/>
        </w:rPr>
        <w:t>»</w:t>
      </w:r>
      <w:r>
        <w:rPr>
          <w:sz w:val="26"/>
          <w:szCs w:val="26"/>
        </w:rPr>
        <w:t>:</w:t>
      </w:r>
    </w:p>
    <w:p w14:paraId="6825CB23" w14:textId="1B95B500" w:rsidR="002E6031" w:rsidRDefault="002E6031" w:rsidP="002E6031">
      <w:pPr>
        <w:suppressAutoHyphens/>
        <w:ind w:firstLine="709"/>
        <w:jc w:val="both"/>
        <w:rPr>
          <w:sz w:val="26"/>
          <w:szCs w:val="26"/>
        </w:rPr>
      </w:pPr>
      <w:r w:rsidRPr="00BF64C4">
        <w:rPr>
          <w:sz w:val="26"/>
          <w:szCs w:val="26"/>
        </w:rPr>
        <w:t>включи</w:t>
      </w:r>
      <w:r>
        <w:rPr>
          <w:sz w:val="26"/>
          <w:szCs w:val="26"/>
        </w:rPr>
        <w:t xml:space="preserve">ть </w:t>
      </w:r>
      <w:r w:rsidRPr="00BF64C4">
        <w:rPr>
          <w:sz w:val="26"/>
          <w:szCs w:val="26"/>
        </w:rPr>
        <w:t>в</w:t>
      </w:r>
      <w:r w:rsidRPr="00BF64C4">
        <w:rPr>
          <w:sz w:val="26"/>
          <w:szCs w:val="26"/>
        </w:rPr>
        <w:t xml:space="preserve">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6.9 «Склады» с параметрами застройки: этажность -</w:t>
      </w:r>
      <w:proofErr w:type="gramStart"/>
      <w:r w:rsidRPr="00BF64C4">
        <w:rPr>
          <w:sz w:val="26"/>
          <w:szCs w:val="26"/>
        </w:rPr>
        <w:t>1 ,</w:t>
      </w:r>
      <w:proofErr w:type="gramEnd"/>
      <w:r w:rsidRPr="00BF64C4">
        <w:rPr>
          <w:sz w:val="26"/>
          <w:szCs w:val="26"/>
        </w:rPr>
        <w:t xml:space="preserve"> минимальная площадь земельного участка -0,001 га, минимальные отступы от границ земельных </w:t>
      </w:r>
      <w:r w:rsidRPr="00BF64C4">
        <w:rPr>
          <w:sz w:val="26"/>
          <w:szCs w:val="26"/>
        </w:rPr>
        <w:t>участков -</w:t>
      </w:r>
      <w:r w:rsidRPr="00BF64C4">
        <w:rPr>
          <w:sz w:val="26"/>
          <w:szCs w:val="26"/>
        </w:rPr>
        <w:t xml:space="preserve">1 м, площадь застройки участка -75%; </w:t>
      </w:r>
    </w:p>
    <w:p w14:paraId="413B3D82" w14:textId="53F10C75" w:rsidR="002E6031" w:rsidRDefault="002E6031" w:rsidP="002E6031">
      <w:pPr>
        <w:suppressAutoHyphens/>
        <w:ind w:firstLine="709"/>
        <w:jc w:val="both"/>
        <w:rPr>
          <w:sz w:val="26"/>
          <w:szCs w:val="26"/>
        </w:rPr>
      </w:pPr>
      <w:r>
        <w:rPr>
          <w:sz w:val="26"/>
          <w:szCs w:val="26"/>
        </w:rPr>
        <w:t>установить минимальную площадь земельного участка для вида разрешенного использования «5.1. «Спорт» -0,05 га»;</w:t>
      </w:r>
    </w:p>
    <w:p w14:paraId="0CEEFA06" w14:textId="77777777" w:rsidR="002E6031" w:rsidRPr="003B433E" w:rsidRDefault="002E6031" w:rsidP="002E6031">
      <w:pPr>
        <w:suppressAutoHyphens/>
        <w:ind w:firstLine="709"/>
        <w:jc w:val="both"/>
        <w:rPr>
          <w:sz w:val="26"/>
          <w:szCs w:val="26"/>
        </w:rPr>
      </w:pPr>
      <w:r w:rsidRPr="00BF64C4">
        <w:rPr>
          <w:sz w:val="26"/>
          <w:szCs w:val="26"/>
        </w:rPr>
        <w:t>8) в стать</w:t>
      </w:r>
      <w:r>
        <w:rPr>
          <w:sz w:val="26"/>
          <w:szCs w:val="26"/>
        </w:rPr>
        <w:t>е</w:t>
      </w:r>
      <w:r w:rsidRPr="00BF64C4">
        <w:rPr>
          <w:sz w:val="26"/>
          <w:szCs w:val="26"/>
        </w:rPr>
        <w:t xml:space="preserve"> 34 «Градостроительный регламент производственной и коммунально-складской зоны (П)</w:t>
      </w:r>
      <w:r>
        <w:rPr>
          <w:sz w:val="26"/>
          <w:szCs w:val="26"/>
        </w:rPr>
        <w:t xml:space="preserve"> </w:t>
      </w:r>
      <w:r w:rsidRPr="00BF64C4">
        <w:rPr>
          <w:sz w:val="26"/>
          <w:szCs w:val="26"/>
        </w:rPr>
        <w:t>включить</w:t>
      </w:r>
      <w:r>
        <w:rPr>
          <w:sz w:val="26"/>
          <w:szCs w:val="26"/>
        </w:rPr>
        <w:t xml:space="preserve"> </w:t>
      </w:r>
      <w:r w:rsidRPr="00BF64C4">
        <w:rPr>
          <w:sz w:val="26"/>
          <w:szCs w:val="26"/>
        </w:rPr>
        <w:t>в основные виды и параметры разрешенного использования земельных участков и объектов капитального строительства вид разрешенного использования с кодом 4.9.1 «Объекты дорожного сервиса», исключив его из условно разрешенного вида использования</w:t>
      </w:r>
      <w:r w:rsidRPr="003B433E">
        <w:rPr>
          <w:sz w:val="26"/>
          <w:szCs w:val="26"/>
        </w:rPr>
        <w:t>;</w:t>
      </w:r>
    </w:p>
    <w:p w14:paraId="46FA78C5" w14:textId="77777777" w:rsidR="002E6031" w:rsidRPr="00BF64C4" w:rsidRDefault="002E6031" w:rsidP="002E6031">
      <w:pPr>
        <w:keepNext/>
        <w:tabs>
          <w:tab w:val="left" w:pos="1134"/>
        </w:tabs>
        <w:ind w:firstLine="709"/>
        <w:jc w:val="both"/>
        <w:outlineLvl w:val="1"/>
        <w:rPr>
          <w:sz w:val="26"/>
          <w:szCs w:val="26"/>
        </w:rPr>
      </w:pPr>
      <w:r w:rsidRPr="00BF64C4">
        <w:rPr>
          <w:sz w:val="26"/>
          <w:szCs w:val="26"/>
        </w:rPr>
        <w:t xml:space="preserve">9) внесения изменений в статью 39 </w:t>
      </w:r>
      <w:bookmarkStart w:id="10" w:name="_Toc151116393"/>
      <w:r w:rsidRPr="00BF64C4">
        <w:rPr>
          <w:sz w:val="26"/>
          <w:szCs w:val="26"/>
        </w:rPr>
        <w:t>«</w:t>
      </w:r>
      <w:r w:rsidRPr="00BF64C4">
        <w:rPr>
          <w:iCs/>
          <w:sz w:val="26"/>
          <w:szCs w:val="26"/>
        </w:rPr>
        <w:t>Градостроительный регламент зоны рекреационного назначения (Р.1</w:t>
      </w:r>
      <w:bookmarkEnd w:id="10"/>
      <w:r w:rsidRPr="00BF64C4">
        <w:rPr>
          <w:iCs/>
          <w:sz w:val="26"/>
          <w:szCs w:val="26"/>
        </w:rPr>
        <w:t>), исключив вид разрешенного использования с кодом 3.2.3 «</w:t>
      </w:r>
      <w:r w:rsidRPr="00BF64C4">
        <w:rPr>
          <w:sz w:val="26"/>
          <w:szCs w:val="26"/>
        </w:rPr>
        <w:t>Оказание услуг связи»;</w:t>
      </w:r>
    </w:p>
    <w:p w14:paraId="11F7E713" w14:textId="77777777" w:rsidR="002E6031" w:rsidRPr="00BF64C4" w:rsidRDefault="002E6031" w:rsidP="002E6031">
      <w:pPr>
        <w:ind w:firstLine="709"/>
        <w:jc w:val="both"/>
        <w:rPr>
          <w:sz w:val="26"/>
          <w:szCs w:val="26"/>
        </w:rPr>
      </w:pPr>
      <w:r w:rsidRPr="00BF64C4">
        <w:rPr>
          <w:sz w:val="26"/>
          <w:szCs w:val="26"/>
        </w:rPr>
        <w:t xml:space="preserve">10) в статье 45 наименование изложить в следующей редакции «Статья 45. Использование земельных участков сельскохозяйственного назначения (территория, действие градостроительных регламентов на которую не распространяются)»; </w:t>
      </w:r>
    </w:p>
    <w:p w14:paraId="5E196BB0" w14:textId="77777777" w:rsidR="0016016A" w:rsidRDefault="0016016A"/>
    <w:sectPr w:rsidR="00160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0EDF"/>
    <w:multiLevelType w:val="hybridMultilevel"/>
    <w:tmpl w:val="309050DE"/>
    <w:lvl w:ilvl="0" w:tplc="EC808C42">
      <w:start w:val="1"/>
      <w:numFmt w:val="decimal"/>
      <w:lvlText w:val="%1)"/>
      <w:lvlJc w:val="left"/>
      <w:pPr>
        <w:ind w:left="1004" w:hanging="360"/>
      </w:pPr>
      <w:rPr>
        <w:rFonts w:hint="default"/>
        <w:b w:val="0"/>
        <w:bCs/>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2201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009683">
    <w:abstractNumId w:val="0"/>
  </w:num>
  <w:num w:numId="3" w16cid:durableId="170355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31"/>
    <w:rsid w:val="0016016A"/>
    <w:rsid w:val="002E6031"/>
    <w:rsid w:val="009F39CA"/>
    <w:rsid w:val="00C71D56"/>
    <w:rsid w:val="00D87732"/>
    <w:rsid w:val="00F5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8807"/>
  <w15:chartTrackingRefBased/>
  <w15:docId w15:val="{BDC67C65-2602-43D7-B52B-1BA6D161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03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2E6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E6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E603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E603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E603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E603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603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603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603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03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E603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E603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E603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E603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E603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6031"/>
    <w:rPr>
      <w:rFonts w:eastAsiaTheme="majorEastAsia" w:cstheme="majorBidi"/>
      <w:color w:val="595959" w:themeColor="text1" w:themeTint="A6"/>
    </w:rPr>
  </w:style>
  <w:style w:type="character" w:customStyle="1" w:styleId="80">
    <w:name w:val="Заголовок 8 Знак"/>
    <w:basedOn w:val="a0"/>
    <w:link w:val="8"/>
    <w:uiPriority w:val="9"/>
    <w:semiHidden/>
    <w:rsid w:val="002E603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6031"/>
    <w:rPr>
      <w:rFonts w:eastAsiaTheme="majorEastAsia" w:cstheme="majorBidi"/>
      <w:color w:val="272727" w:themeColor="text1" w:themeTint="D8"/>
    </w:rPr>
  </w:style>
  <w:style w:type="paragraph" w:styleId="a3">
    <w:name w:val="Title"/>
    <w:basedOn w:val="a"/>
    <w:next w:val="a"/>
    <w:link w:val="a4"/>
    <w:uiPriority w:val="10"/>
    <w:qFormat/>
    <w:rsid w:val="002E603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6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3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603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6031"/>
    <w:pPr>
      <w:spacing w:before="160"/>
      <w:jc w:val="center"/>
    </w:pPr>
    <w:rPr>
      <w:i/>
      <w:iCs/>
      <w:color w:val="404040" w:themeColor="text1" w:themeTint="BF"/>
    </w:rPr>
  </w:style>
  <w:style w:type="character" w:customStyle="1" w:styleId="22">
    <w:name w:val="Цитата 2 Знак"/>
    <w:basedOn w:val="a0"/>
    <w:link w:val="21"/>
    <w:uiPriority w:val="29"/>
    <w:rsid w:val="002E6031"/>
    <w:rPr>
      <w:i/>
      <w:iCs/>
      <w:color w:val="404040" w:themeColor="text1" w:themeTint="BF"/>
    </w:rPr>
  </w:style>
  <w:style w:type="paragraph" w:styleId="a7">
    <w:name w:val="List Paragraph"/>
    <w:basedOn w:val="a"/>
    <w:link w:val="a8"/>
    <w:uiPriority w:val="34"/>
    <w:qFormat/>
    <w:rsid w:val="002E6031"/>
    <w:pPr>
      <w:ind w:left="720"/>
      <w:contextualSpacing/>
    </w:pPr>
  </w:style>
  <w:style w:type="character" w:styleId="a9">
    <w:name w:val="Intense Emphasis"/>
    <w:basedOn w:val="a0"/>
    <w:uiPriority w:val="21"/>
    <w:qFormat/>
    <w:rsid w:val="002E6031"/>
    <w:rPr>
      <w:i/>
      <w:iCs/>
      <w:color w:val="2F5496" w:themeColor="accent1" w:themeShade="BF"/>
    </w:rPr>
  </w:style>
  <w:style w:type="paragraph" w:styleId="aa">
    <w:name w:val="Intense Quote"/>
    <w:basedOn w:val="a"/>
    <w:next w:val="a"/>
    <w:link w:val="ab"/>
    <w:uiPriority w:val="30"/>
    <w:qFormat/>
    <w:rsid w:val="002E6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2E6031"/>
    <w:rPr>
      <w:i/>
      <w:iCs/>
      <w:color w:val="2F5496" w:themeColor="accent1" w:themeShade="BF"/>
    </w:rPr>
  </w:style>
  <w:style w:type="character" w:styleId="ac">
    <w:name w:val="Intense Reference"/>
    <w:basedOn w:val="a0"/>
    <w:uiPriority w:val="32"/>
    <w:qFormat/>
    <w:rsid w:val="002E6031"/>
    <w:rPr>
      <w:b/>
      <w:bCs/>
      <w:smallCaps/>
      <w:color w:val="2F5496" w:themeColor="accent1" w:themeShade="BF"/>
      <w:spacing w:val="5"/>
    </w:rPr>
  </w:style>
  <w:style w:type="character" w:styleId="ad">
    <w:name w:val="Hyperlink"/>
    <w:uiPriority w:val="99"/>
    <w:rsid w:val="002E6031"/>
    <w:rPr>
      <w:color w:val="0000FF"/>
      <w:u w:val="single"/>
    </w:rPr>
  </w:style>
  <w:style w:type="character" w:customStyle="1" w:styleId="a8">
    <w:name w:val="Абзац списка Знак"/>
    <w:link w:val="a7"/>
    <w:uiPriority w:val="34"/>
    <w:rsid w:val="002E6031"/>
  </w:style>
  <w:style w:type="paragraph" w:customStyle="1" w:styleId="Default">
    <w:name w:val="Default"/>
    <w:rsid w:val="002E603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81298/9f02d6f23b8de282cadb5870beb121da58be59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Грацилева Надежда Григорьевна</dc:creator>
  <cp:keywords/>
  <dc:description/>
  <cp:lastModifiedBy>Грацилева Надежда Григорьевна</cp:lastModifiedBy>
  <cp:revision>1</cp:revision>
  <dcterms:created xsi:type="dcterms:W3CDTF">2025-05-03T06:33:00Z</dcterms:created>
  <dcterms:modified xsi:type="dcterms:W3CDTF">2025-05-03T06:39:00Z</dcterms:modified>
</cp:coreProperties>
</file>